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75680" w14:textId="77777777" w:rsidR="00C0137C" w:rsidRPr="00867DAA" w:rsidRDefault="001371C2" w:rsidP="0092693E">
      <w:pPr>
        <w:shd w:val="clear" w:color="auto" w:fill="FFFFFF"/>
        <w:spacing w:after="150" w:line="360" w:lineRule="atLeast"/>
        <w:jc w:val="center"/>
        <w:textAlignment w:val="baseline"/>
        <w:outlineLvl w:val="0"/>
        <w:rPr>
          <w:rFonts w:ascii="Georgia" w:eastAsia="Times New Roman" w:hAnsi="Georgia" w:cs="Arial"/>
          <w:b/>
          <w:bCs/>
          <w:kern w:val="36"/>
          <w:sz w:val="20"/>
          <w:szCs w:val="20"/>
          <w:u w:val="single"/>
          <w:lang w:val="es-ES" w:eastAsia="es-ES"/>
        </w:rPr>
      </w:pPr>
      <w:r w:rsidRPr="00867DAA">
        <w:rPr>
          <w:rFonts w:ascii="Georgia" w:eastAsia="Times New Roman" w:hAnsi="Georgia" w:cs="Arial"/>
          <w:b/>
          <w:bCs/>
          <w:kern w:val="36"/>
          <w:sz w:val="20"/>
          <w:szCs w:val="20"/>
          <w:u w:val="single"/>
          <w:lang w:val="es-ES" w:eastAsia="es-ES"/>
        </w:rPr>
        <w:t xml:space="preserve">PREGUNTAS Y RESPUESTAS SOBRE ERTES </w:t>
      </w:r>
      <w:r w:rsidR="00C0137C" w:rsidRPr="00867DAA">
        <w:rPr>
          <w:rFonts w:ascii="Georgia" w:eastAsia="Times New Roman" w:hAnsi="Georgia" w:cs="Arial"/>
          <w:b/>
          <w:bCs/>
          <w:kern w:val="36"/>
          <w:sz w:val="20"/>
          <w:szCs w:val="20"/>
          <w:u w:val="single"/>
          <w:lang w:val="es-ES" w:eastAsia="es-ES"/>
        </w:rPr>
        <w:t xml:space="preserve">COVID DE </w:t>
      </w:r>
      <w:r w:rsidRPr="00867DAA">
        <w:rPr>
          <w:rFonts w:ascii="Georgia" w:eastAsia="Times New Roman" w:hAnsi="Georgia" w:cs="Arial"/>
          <w:b/>
          <w:bCs/>
          <w:kern w:val="36"/>
          <w:sz w:val="20"/>
          <w:szCs w:val="20"/>
          <w:u w:val="single"/>
          <w:lang w:val="es-ES" w:eastAsia="es-ES"/>
        </w:rPr>
        <w:t xml:space="preserve">CONCESIONARIOS </w:t>
      </w:r>
    </w:p>
    <w:p w14:paraId="081CB26B" w14:textId="67127628" w:rsidR="001371C2" w:rsidRPr="00867DAA" w:rsidRDefault="009928B4" w:rsidP="0092693E">
      <w:pPr>
        <w:shd w:val="clear" w:color="auto" w:fill="FFFFFF"/>
        <w:spacing w:after="150" w:line="360" w:lineRule="atLeast"/>
        <w:jc w:val="center"/>
        <w:textAlignment w:val="baseline"/>
        <w:outlineLvl w:val="0"/>
        <w:rPr>
          <w:rFonts w:ascii="Georgia" w:eastAsia="Times New Roman" w:hAnsi="Georgia" w:cs="Arial"/>
          <w:b/>
          <w:bCs/>
          <w:kern w:val="36"/>
          <w:sz w:val="20"/>
          <w:szCs w:val="20"/>
          <w:u w:val="single"/>
          <w:lang w:val="es-ES" w:eastAsia="es-ES"/>
        </w:rPr>
      </w:pPr>
      <w:r w:rsidRPr="00867DAA">
        <w:rPr>
          <w:rFonts w:ascii="Georgia" w:eastAsia="Times New Roman" w:hAnsi="Georgia" w:cs="Arial"/>
          <w:b/>
          <w:bCs/>
          <w:kern w:val="36"/>
          <w:sz w:val="20"/>
          <w:szCs w:val="20"/>
          <w:u w:val="single"/>
          <w:lang w:val="es-ES" w:eastAsia="es-ES"/>
        </w:rPr>
        <w:t>A RAI</w:t>
      </w:r>
      <w:r w:rsidR="008C6FB6" w:rsidRPr="00867DAA">
        <w:rPr>
          <w:rFonts w:ascii="Georgia" w:eastAsia="Times New Roman" w:hAnsi="Georgia" w:cs="Arial"/>
          <w:b/>
          <w:bCs/>
          <w:kern w:val="36"/>
          <w:sz w:val="20"/>
          <w:szCs w:val="20"/>
          <w:u w:val="single"/>
          <w:lang w:val="es-ES" w:eastAsia="es-ES"/>
        </w:rPr>
        <w:t>Z</w:t>
      </w:r>
      <w:r w:rsidRPr="00867DAA">
        <w:rPr>
          <w:rFonts w:ascii="Georgia" w:eastAsia="Times New Roman" w:hAnsi="Georgia" w:cs="Arial"/>
          <w:b/>
          <w:bCs/>
          <w:kern w:val="36"/>
          <w:sz w:val="20"/>
          <w:szCs w:val="20"/>
          <w:u w:val="single"/>
          <w:lang w:val="es-ES" w:eastAsia="es-ES"/>
        </w:rPr>
        <w:t xml:space="preserve"> DE PUBLICACIÓN </w:t>
      </w:r>
      <w:r w:rsidR="00C50B8A">
        <w:rPr>
          <w:rFonts w:ascii="Georgia" w:eastAsia="Times New Roman" w:hAnsi="Georgia" w:cs="Arial"/>
          <w:b/>
          <w:bCs/>
          <w:kern w:val="36"/>
          <w:sz w:val="20"/>
          <w:szCs w:val="20"/>
          <w:u w:val="single"/>
          <w:lang w:val="es-ES" w:eastAsia="es-ES"/>
        </w:rPr>
        <w:t xml:space="preserve">EL 30/9/2020 </w:t>
      </w:r>
      <w:r w:rsidRPr="00867DAA">
        <w:rPr>
          <w:rFonts w:ascii="Georgia" w:eastAsia="Times New Roman" w:hAnsi="Georgia" w:cs="Arial"/>
          <w:b/>
          <w:bCs/>
          <w:kern w:val="36"/>
          <w:sz w:val="20"/>
          <w:szCs w:val="20"/>
          <w:u w:val="single"/>
          <w:lang w:val="es-ES" w:eastAsia="es-ES"/>
        </w:rPr>
        <w:t xml:space="preserve">DEL RDL </w:t>
      </w:r>
      <w:r w:rsidR="00C50B8A">
        <w:rPr>
          <w:rFonts w:ascii="Georgia" w:eastAsia="Times New Roman" w:hAnsi="Georgia" w:cs="Arial"/>
          <w:b/>
          <w:bCs/>
          <w:kern w:val="36"/>
          <w:sz w:val="20"/>
          <w:szCs w:val="20"/>
          <w:u w:val="single"/>
          <w:lang w:val="es-ES" w:eastAsia="es-ES"/>
        </w:rPr>
        <w:t>30</w:t>
      </w:r>
      <w:r w:rsidRPr="00867DAA">
        <w:rPr>
          <w:rFonts w:ascii="Georgia" w:eastAsia="Times New Roman" w:hAnsi="Georgia" w:cs="Arial"/>
          <w:b/>
          <w:bCs/>
          <w:kern w:val="36"/>
          <w:sz w:val="20"/>
          <w:szCs w:val="20"/>
          <w:u w:val="single"/>
          <w:lang w:val="es-ES" w:eastAsia="es-ES"/>
        </w:rPr>
        <w:t>/2020 QUE HA ENTRADO EN VIGOR EN ESA MISMA FECHA</w:t>
      </w:r>
      <w:r w:rsidR="004A303D" w:rsidRPr="00867DAA">
        <w:rPr>
          <w:rStyle w:val="FootnoteReference"/>
          <w:rFonts w:ascii="Georgia" w:eastAsia="Times New Roman" w:hAnsi="Georgia" w:cs="Arial"/>
          <w:b/>
          <w:bCs/>
          <w:kern w:val="36"/>
          <w:sz w:val="20"/>
          <w:szCs w:val="20"/>
          <w:u w:val="single"/>
          <w:lang w:val="es-ES" w:eastAsia="es-ES"/>
        </w:rPr>
        <w:footnoteReference w:id="1"/>
      </w:r>
    </w:p>
    <w:p w14:paraId="7A2950AF" w14:textId="4A4BBC4A" w:rsidR="007A1555" w:rsidRDefault="007A1555" w:rsidP="0092693E">
      <w:pPr>
        <w:shd w:val="clear" w:color="auto" w:fill="FFFFFF"/>
        <w:spacing w:after="150" w:line="360" w:lineRule="atLeast"/>
        <w:jc w:val="center"/>
        <w:textAlignment w:val="baseline"/>
        <w:outlineLvl w:val="0"/>
        <w:rPr>
          <w:rFonts w:ascii="Georgia" w:eastAsia="Times New Roman" w:hAnsi="Georgia" w:cs="Arial"/>
          <w:kern w:val="36"/>
          <w:sz w:val="20"/>
          <w:szCs w:val="20"/>
          <w:lang w:val="es-ES" w:eastAsia="es-ES"/>
        </w:rPr>
      </w:pPr>
      <w:r w:rsidRPr="00867DAA">
        <w:rPr>
          <w:rFonts w:ascii="Georgia" w:eastAsia="Times New Roman" w:hAnsi="Georgia" w:cs="Arial"/>
          <w:kern w:val="36"/>
          <w:sz w:val="20"/>
          <w:szCs w:val="20"/>
          <w:lang w:val="es-ES" w:eastAsia="es-ES"/>
        </w:rPr>
        <w:t>(</w:t>
      </w:r>
      <w:r w:rsidR="00F41B80" w:rsidRPr="00867DAA">
        <w:rPr>
          <w:rFonts w:ascii="Georgia" w:eastAsia="Times New Roman" w:hAnsi="Georgia" w:cs="Arial"/>
          <w:kern w:val="36"/>
          <w:sz w:val="20"/>
          <w:szCs w:val="20"/>
          <w:lang w:val="es-ES" w:eastAsia="es-ES"/>
        </w:rPr>
        <w:t>E</w:t>
      </w:r>
      <w:r w:rsidR="00F94B2E" w:rsidRPr="00867DAA">
        <w:rPr>
          <w:rFonts w:ascii="Georgia" w:eastAsia="Times New Roman" w:hAnsi="Georgia" w:cs="Arial"/>
          <w:kern w:val="36"/>
          <w:sz w:val="20"/>
          <w:szCs w:val="20"/>
          <w:lang w:val="es-ES" w:eastAsia="es-ES"/>
        </w:rPr>
        <w:t xml:space="preserve">ste documento recoge </w:t>
      </w:r>
      <w:r w:rsidRPr="00867DAA">
        <w:rPr>
          <w:rFonts w:ascii="Georgia" w:eastAsia="Times New Roman" w:hAnsi="Georgia" w:cs="Arial"/>
          <w:kern w:val="36"/>
          <w:sz w:val="20"/>
          <w:szCs w:val="20"/>
          <w:lang w:val="es-ES" w:eastAsia="es-ES"/>
        </w:rPr>
        <w:t>la opinión de</w:t>
      </w:r>
      <w:r w:rsidR="00C0137C" w:rsidRPr="00867DAA">
        <w:rPr>
          <w:rFonts w:ascii="Georgia" w:eastAsia="Times New Roman" w:hAnsi="Georgia" w:cs="Arial"/>
          <w:kern w:val="36"/>
          <w:sz w:val="20"/>
          <w:szCs w:val="20"/>
          <w:lang w:val="es-ES" w:eastAsia="es-ES"/>
        </w:rPr>
        <w:t>l equipo de</w:t>
      </w:r>
      <w:r w:rsidRPr="00867DAA">
        <w:rPr>
          <w:rFonts w:ascii="Georgia" w:eastAsia="Times New Roman" w:hAnsi="Georgia" w:cs="Arial"/>
          <w:kern w:val="36"/>
          <w:sz w:val="20"/>
          <w:szCs w:val="20"/>
          <w:lang w:val="es-ES" w:eastAsia="es-ES"/>
        </w:rPr>
        <w:t xml:space="preserve"> PwC laboral </w:t>
      </w:r>
      <w:r w:rsidR="00F94B2E" w:rsidRPr="00867DAA">
        <w:rPr>
          <w:rFonts w:ascii="Georgia" w:eastAsia="Times New Roman" w:hAnsi="Georgia" w:cs="Arial"/>
          <w:kern w:val="36"/>
          <w:sz w:val="20"/>
          <w:szCs w:val="20"/>
          <w:lang w:val="es-ES" w:eastAsia="es-ES"/>
        </w:rPr>
        <w:t xml:space="preserve">que ha estado apoyando a FACONAUTO </w:t>
      </w:r>
      <w:r w:rsidR="00F23062" w:rsidRPr="00867DAA">
        <w:rPr>
          <w:rFonts w:ascii="Georgia" w:eastAsia="Times New Roman" w:hAnsi="Georgia" w:cs="Arial"/>
          <w:kern w:val="36"/>
          <w:sz w:val="20"/>
          <w:szCs w:val="20"/>
          <w:lang w:val="es-ES" w:eastAsia="es-ES"/>
        </w:rPr>
        <w:t>según su leal saber y entender</w:t>
      </w:r>
      <w:r w:rsidR="00C50B8A">
        <w:rPr>
          <w:rFonts w:ascii="Georgia" w:eastAsia="Times New Roman" w:hAnsi="Georgia" w:cs="Arial"/>
          <w:kern w:val="36"/>
          <w:sz w:val="20"/>
          <w:szCs w:val="20"/>
          <w:lang w:val="es-ES" w:eastAsia="es-ES"/>
        </w:rPr>
        <w:t>,</w:t>
      </w:r>
      <w:r w:rsidR="00F23062" w:rsidRPr="00867DAA">
        <w:rPr>
          <w:rFonts w:ascii="Georgia" w:eastAsia="Times New Roman" w:hAnsi="Georgia" w:cs="Arial"/>
          <w:kern w:val="36"/>
          <w:sz w:val="20"/>
          <w:szCs w:val="20"/>
          <w:lang w:val="es-ES" w:eastAsia="es-ES"/>
        </w:rPr>
        <w:t xml:space="preserve"> </w:t>
      </w:r>
      <w:r w:rsidR="00F94B2E" w:rsidRPr="00867DAA">
        <w:rPr>
          <w:rFonts w:ascii="Georgia" w:eastAsia="Times New Roman" w:hAnsi="Georgia" w:cs="Arial"/>
          <w:kern w:val="36"/>
          <w:sz w:val="20"/>
          <w:szCs w:val="20"/>
          <w:lang w:val="es-ES" w:eastAsia="es-ES"/>
        </w:rPr>
        <w:t xml:space="preserve">a fecha </w:t>
      </w:r>
      <w:r w:rsidR="008B2254" w:rsidRPr="00867DAA">
        <w:rPr>
          <w:rFonts w:ascii="Georgia" w:eastAsia="Times New Roman" w:hAnsi="Georgia" w:cs="Arial"/>
          <w:kern w:val="36"/>
          <w:sz w:val="20"/>
          <w:szCs w:val="20"/>
          <w:lang w:val="es-ES" w:eastAsia="es-ES"/>
        </w:rPr>
        <w:t xml:space="preserve">30 de </w:t>
      </w:r>
      <w:r w:rsidR="00C50B8A">
        <w:rPr>
          <w:rFonts w:ascii="Georgia" w:eastAsia="Times New Roman" w:hAnsi="Georgia" w:cs="Arial"/>
          <w:kern w:val="36"/>
          <w:sz w:val="20"/>
          <w:szCs w:val="20"/>
          <w:lang w:val="es-ES" w:eastAsia="es-ES"/>
        </w:rPr>
        <w:t>septiembre</w:t>
      </w:r>
      <w:r w:rsidRPr="00867DAA">
        <w:rPr>
          <w:rFonts w:ascii="Georgia" w:eastAsia="Times New Roman" w:hAnsi="Georgia" w:cs="Arial"/>
          <w:kern w:val="36"/>
          <w:sz w:val="20"/>
          <w:szCs w:val="20"/>
          <w:lang w:val="es-ES" w:eastAsia="es-ES"/>
        </w:rPr>
        <w:t xml:space="preserve"> de 2020</w:t>
      </w:r>
      <w:r w:rsidR="00F23062" w:rsidRPr="00867DAA">
        <w:rPr>
          <w:rFonts w:ascii="Georgia" w:eastAsia="Times New Roman" w:hAnsi="Georgia" w:cs="Arial"/>
          <w:kern w:val="36"/>
          <w:sz w:val="20"/>
          <w:szCs w:val="20"/>
          <w:lang w:val="es-ES" w:eastAsia="es-ES"/>
        </w:rPr>
        <w:t xml:space="preserve">, sin </w:t>
      </w:r>
      <w:r w:rsidR="00F94B2E" w:rsidRPr="00867DAA">
        <w:rPr>
          <w:rFonts w:ascii="Georgia" w:eastAsia="Times New Roman" w:hAnsi="Georgia" w:cs="Arial"/>
          <w:kern w:val="36"/>
          <w:sz w:val="20"/>
          <w:szCs w:val="20"/>
          <w:lang w:val="es-ES" w:eastAsia="es-ES"/>
        </w:rPr>
        <w:t xml:space="preserve">atender a las circunstancias concretas de cada empresa y sin </w:t>
      </w:r>
      <w:r w:rsidR="00F23062" w:rsidRPr="00867DAA">
        <w:rPr>
          <w:rFonts w:ascii="Georgia" w:eastAsia="Times New Roman" w:hAnsi="Georgia" w:cs="Arial"/>
          <w:kern w:val="36"/>
          <w:sz w:val="20"/>
          <w:szCs w:val="20"/>
          <w:lang w:val="es-ES" w:eastAsia="es-ES"/>
        </w:rPr>
        <w:t>perjuicio de que pue</w:t>
      </w:r>
      <w:r w:rsidR="00F94B2E" w:rsidRPr="00867DAA">
        <w:rPr>
          <w:rFonts w:ascii="Georgia" w:eastAsia="Times New Roman" w:hAnsi="Georgia" w:cs="Arial"/>
          <w:kern w:val="36"/>
          <w:sz w:val="20"/>
          <w:szCs w:val="20"/>
          <w:lang w:val="es-ES" w:eastAsia="es-ES"/>
        </w:rPr>
        <w:t xml:space="preserve">da ser adaptado o corregido en el caso de </w:t>
      </w:r>
      <w:r w:rsidR="00F23062" w:rsidRPr="00867DAA">
        <w:rPr>
          <w:rFonts w:ascii="Georgia" w:eastAsia="Times New Roman" w:hAnsi="Georgia" w:cs="Arial"/>
          <w:kern w:val="36"/>
          <w:sz w:val="20"/>
          <w:szCs w:val="20"/>
          <w:lang w:val="es-ES" w:eastAsia="es-ES"/>
        </w:rPr>
        <w:t xml:space="preserve">posteriores </w:t>
      </w:r>
      <w:r w:rsidR="00850D98" w:rsidRPr="00867DAA">
        <w:rPr>
          <w:rFonts w:ascii="Georgia" w:eastAsia="Times New Roman" w:hAnsi="Georgia" w:cs="Arial"/>
          <w:kern w:val="36"/>
          <w:sz w:val="20"/>
          <w:szCs w:val="20"/>
          <w:lang w:val="es-ES" w:eastAsia="es-ES"/>
        </w:rPr>
        <w:t xml:space="preserve">cambios normativos o </w:t>
      </w:r>
      <w:r w:rsidR="0031485C" w:rsidRPr="00867DAA">
        <w:rPr>
          <w:rFonts w:ascii="Georgia" w:eastAsia="Times New Roman" w:hAnsi="Georgia" w:cs="Arial"/>
          <w:kern w:val="36"/>
          <w:sz w:val="20"/>
          <w:szCs w:val="20"/>
          <w:lang w:val="es-ES" w:eastAsia="es-ES"/>
        </w:rPr>
        <w:t xml:space="preserve">criterios </w:t>
      </w:r>
      <w:r w:rsidR="00F23062" w:rsidRPr="00867DAA">
        <w:rPr>
          <w:rFonts w:ascii="Georgia" w:eastAsia="Times New Roman" w:hAnsi="Georgia" w:cs="Arial"/>
          <w:kern w:val="36"/>
          <w:sz w:val="20"/>
          <w:szCs w:val="20"/>
          <w:lang w:val="es-ES" w:eastAsia="es-ES"/>
        </w:rPr>
        <w:t>e interpretaciones de la D</w:t>
      </w:r>
      <w:r w:rsidR="002C7A4D" w:rsidRPr="00867DAA">
        <w:rPr>
          <w:rFonts w:ascii="Georgia" w:eastAsia="Times New Roman" w:hAnsi="Georgia" w:cs="Arial"/>
          <w:kern w:val="36"/>
          <w:sz w:val="20"/>
          <w:szCs w:val="20"/>
          <w:lang w:val="es-ES" w:eastAsia="es-ES"/>
        </w:rPr>
        <w:t>GT</w:t>
      </w:r>
      <w:r w:rsidR="002D7BB2" w:rsidRPr="00867DAA">
        <w:rPr>
          <w:rFonts w:ascii="Georgia" w:eastAsia="Times New Roman" w:hAnsi="Georgia" w:cs="Arial"/>
          <w:kern w:val="36"/>
          <w:sz w:val="20"/>
          <w:szCs w:val="20"/>
          <w:lang w:val="es-ES" w:eastAsia="es-ES"/>
        </w:rPr>
        <w:t>,</w:t>
      </w:r>
      <w:r w:rsidR="00F23062" w:rsidRPr="00867DAA">
        <w:rPr>
          <w:rFonts w:ascii="Georgia" w:eastAsia="Times New Roman" w:hAnsi="Georgia" w:cs="Arial"/>
          <w:kern w:val="36"/>
          <w:sz w:val="20"/>
          <w:szCs w:val="20"/>
          <w:lang w:val="es-ES" w:eastAsia="es-ES"/>
        </w:rPr>
        <w:t xml:space="preserve"> SEPE</w:t>
      </w:r>
      <w:r w:rsidR="006B348C" w:rsidRPr="00867DAA">
        <w:rPr>
          <w:rFonts w:ascii="Georgia" w:eastAsia="Times New Roman" w:hAnsi="Georgia" w:cs="Arial"/>
          <w:kern w:val="36"/>
          <w:sz w:val="20"/>
          <w:szCs w:val="20"/>
          <w:lang w:val="es-ES" w:eastAsia="es-ES"/>
        </w:rPr>
        <w:t>, TGSS, etc</w:t>
      </w:r>
      <w:r w:rsidR="00C50B8A">
        <w:rPr>
          <w:rFonts w:ascii="Georgia" w:eastAsia="Times New Roman" w:hAnsi="Georgia" w:cs="Arial"/>
          <w:kern w:val="36"/>
          <w:sz w:val="20"/>
          <w:szCs w:val="20"/>
          <w:lang w:val="es-ES" w:eastAsia="es-ES"/>
        </w:rPr>
        <w:t>. No debe interpretarse por lo tanto como un asesoramiento jurídico.</w:t>
      </w:r>
      <w:r w:rsidRPr="00867DAA">
        <w:rPr>
          <w:rFonts w:ascii="Georgia" w:eastAsia="Times New Roman" w:hAnsi="Georgia" w:cs="Arial"/>
          <w:kern w:val="36"/>
          <w:sz w:val="20"/>
          <w:szCs w:val="20"/>
          <w:lang w:val="es-ES" w:eastAsia="es-ES"/>
        </w:rPr>
        <w:t>)</w:t>
      </w:r>
    </w:p>
    <w:p w14:paraId="3CC98437" w14:textId="55C65895" w:rsidR="00C50B8A" w:rsidRDefault="00C50B8A" w:rsidP="0092693E">
      <w:pPr>
        <w:shd w:val="clear" w:color="auto" w:fill="FFFFFF"/>
        <w:spacing w:after="150" w:line="360" w:lineRule="atLeast"/>
        <w:jc w:val="center"/>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A lo largo del escrito, se utilizarán las siguientes abreviaturas: ERTE FM significa ERTE por fuerza mayor y ERTE ETOP significa ERTE por causas económicas, técnicas productivas, organizativas o/y productivas.</w:t>
      </w:r>
    </w:p>
    <w:p w14:paraId="3EF5F49F" w14:textId="5E73F8A3" w:rsidR="00BD3EEF" w:rsidRDefault="00BD3EEF" w:rsidP="00003362">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r>
        <w:rPr>
          <w:rFonts w:ascii="Georgia" w:eastAsia="Times New Roman" w:hAnsi="Georgia" w:cs="Arial"/>
          <w:b/>
          <w:bCs/>
          <w:kern w:val="36"/>
          <w:sz w:val="20"/>
          <w:szCs w:val="20"/>
          <w:lang w:val="es-ES" w:eastAsia="es-ES"/>
        </w:rPr>
        <w:t>¿Hay exenciones a las cotizaciones a partir del 1 de octubre, que sean ya aplicables al sector?</w:t>
      </w:r>
      <w:r w:rsidR="00F0643F">
        <w:rPr>
          <w:rFonts w:ascii="Georgia" w:eastAsia="Times New Roman" w:hAnsi="Georgia" w:cs="Arial"/>
          <w:b/>
          <w:bCs/>
          <w:kern w:val="36"/>
          <w:sz w:val="20"/>
          <w:szCs w:val="20"/>
          <w:lang w:val="es-ES" w:eastAsia="es-ES"/>
        </w:rPr>
        <w:t xml:space="preserve"> </w:t>
      </w:r>
    </w:p>
    <w:p w14:paraId="7A6DC6B7" w14:textId="606D5EE1" w:rsidR="00BD3EEF" w:rsidRDefault="00BD3EEF" w:rsidP="00BD3EEF">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1AD43AB5" w14:textId="772AB095" w:rsidR="00BD3EEF" w:rsidRDefault="00BD3EEF" w:rsidP="00BD3EEF">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sidRPr="008F032E">
        <w:rPr>
          <w:rFonts w:ascii="Georgia" w:eastAsia="Times New Roman" w:hAnsi="Georgia" w:cs="Arial"/>
          <w:kern w:val="36"/>
          <w:sz w:val="20"/>
          <w:szCs w:val="20"/>
          <w:lang w:val="es-ES" w:eastAsia="es-ES"/>
        </w:rPr>
        <w:t xml:space="preserve">En general </w:t>
      </w:r>
      <w:r>
        <w:rPr>
          <w:rFonts w:ascii="Georgia" w:eastAsia="Times New Roman" w:hAnsi="Georgia" w:cs="Arial"/>
          <w:kern w:val="36"/>
          <w:sz w:val="20"/>
          <w:szCs w:val="20"/>
          <w:lang w:val="es-ES" w:eastAsia="es-ES"/>
        </w:rPr>
        <w:t xml:space="preserve">entendemos que </w:t>
      </w:r>
      <w:r w:rsidRPr="008F032E">
        <w:rPr>
          <w:rFonts w:ascii="Georgia" w:eastAsia="Times New Roman" w:hAnsi="Georgia" w:cs="Arial"/>
          <w:kern w:val="36"/>
          <w:sz w:val="20"/>
          <w:szCs w:val="20"/>
          <w:lang w:val="es-ES" w:eastAsia="es-ES"/>
        </w:rPr>
        <w:t>no porque</w:t>
      </w:r>
      <w:r>
        <w:rPr>
          <w:rFonts w:ascii="Georgia" w:eastAsia="Times New Roman" w:hAnsi="Georgia" w:cs="Arial"/>
          <w:kern w:val="36"/>
          <w:sz w:val="20"/>
          <w:szCs w:val="20"/>
          <w:lang w:val="es-ES" w:eastAsia="es-ES"/>
        </w:rPr>
        <w:t xml:space="preserve"> l</w:t>
      </w:r>
      <w:r w:rsidRPr="008F032E">
        <w:rPr>
          <w:rFonts w:ascii="Georgia" w:eastAsia="Times New Roman" w:hAnsi="Georgia" w:cs="Arial"/>
          <w:kern w:val="36"/>
          <w:sz w:val="20"/>
          <w:szCs w:val="20"/>
          <w:lang w:val="es-ES" w:eastAsia="es-ES"/>
        </w:rPr>
        <w:t>os ERTE FM</w:t>
      </w:r>
      <w:r>
        <w:rPr>
          <w:rFonts w:ascii="Georgia" w:eastAsia="Times New Roman" w:hAnsi="Georgia" w:cs="Arial"/>
          <w:kern w:val="36"/>
          <w:sz w:val="20"/>
          <w:szCs w:val="20"/>
          <w:lang w:val="es-ES" w:eastAsia="es-ES"/>
        </w:rPr>
        <w:t xml:space="preserve"> y los ERTE ETOP por causas </w:t>
      </w:r>
      <w:proofErr w:type="spellStart"/>
      <w:r>
        <w:rPr>
          <w:rFonts w:ascii="Georgia" w:eastAsia="Times New Roman" w:hAnsi="Georgia" w:cs="Arial"/>
          <w:kern w:val="36"/>
          <w:sz w:val="20"/>
          <w:szCs w:val="20"/>
          <w:lang w:val="es-ES" w:eastAsia="es-ES"/>
        </w:rPr>
        <w:t>Covid</w:t>
      </w:r>
      <w:proofErr w:type="spellEnd"/>
      <w:r>
        <w:rPr>
          <w:rFonts w:ascii="Georgia" w:eastAsia="Times New Roman" w:hAnsi="Georgia" w:cs="Arial"/>
          <w:kern w:val="36"/>
          <w:sz w:val="20"/>
          <w:szCs w:val="20"/>
          <w:lang w:val="es-ES" w:eastAsia="es-ES"/>
        </w:rPr>
        <w:t xml:space="preserve"> que estén aplicándose o que vayan a empezar a aplicarse sólo llevan aparejadas posibles exoneraciones si se trata de empresas incluidas en los CNAE del anexo del RDL (en el caso de los ERTE FM también si se trata de empresas cuya clientela en 2019 fueran en más de un 50% empresas en alguno de esos CNAE o que dependa indirectamente de empresas en esos CNAE). En la lista de CNAE no consta el de los concesionarios de automóviles ni el de los talleres de reparación.</w:t>
      </w:r>
    </w:p>
    <w:p w14:paraId="60AA1A8D" w14:textId="78C986AF" w:rsidR="00BD3EEF" w:rsidRDefault="00BD3EEF" w:rsidP="00BD3EEF">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p>
    <w:p w14:paraId="04DE4033" w14:textId="73C659F8" w:rsidR="00950599" w:rsidRDefault="00BD3EEF" w:rsidP="00BD3EEF">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No obstante, cabrían ex</w:t>
      </w:r>
      <w:r w:rsidR="00950599">
        <w:rPr>
          <w:rFonts w:ascii="Georgia" w:eastAsia="Times New Roman" w:hAnsi="Georgia" w:cs="Arial"/>
          <w:kern w:val="36"/>
          <w:sz w:val="20"/>
          <w:szCs w:val="20"/>
          <w:lang w:val="es-ES" w:eastAsia="es-ES"/>
        </w:rPr>
        <w:t>oneraciones:</w:t>
      </w:r>
    </w:p>
    <w:p w14:paraId="1DCB5557" w14:textId="77777777" w:rsidR="00950599" w:rsidRDefault="00950599" w:rsidP="00BD3EEF">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p>
    <w:p w14:paraId="0F0B3AC3" w14:textId="2B566828" w:rsidR="00950599" w:rsidRDefault="00950599" w:rsidP="00950599">
      <w:pPr>
        <w:pStyle w:val="ListParagraph"/>
        <w:numPr>
          <w:ilvl w:val="0"/>
          <w:numId w:val="14"/>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 xml:space="preserve">Si la empresa está aplicando un ERTE FM “por rebrote” del RDL 24/2020 (que entendemos no será habitual en el sector): </w:t>
      </w:r>
      <w:r w:rsidRPr="008F032E">
        <w:rPr>
          <w:rFonts w:ascii="Georgia" w:eastAsia="Times New Roman" w:hAnsi="Georgia" w:cs="Arial"/>
          <w:kern w:val="36"/>
          <w:sz w:val="20"/>
          <w:szCs w:val="20"/>
          <w:lang w:val="es-ES" w:eastAsia="es-ES"/>
        </w:rPr>
        <w:t>100% si tiene menos de 50 trabajadores y de 90% si 50 o más, de octubre a enero incluidos.</w:t>
      </w:r>
    </w:p>
    <w:p w14:paraId="2CE68D7D" w14:textId="77777777" w:rsidR="00950599" w:rsidRDefault="00950599" w:rsidP="008F032E">
      <w:pPr>
        <w:pStyle w:val="ListParagraph"/>
        <w:shd w:val="clear" w:color="auto" w:fill="FFFFFF"/>
        <w:spacing w:after="150" w:line="360" w:lineRule="atLeast"/>
        <w:ind w:left="1080"/>
        <w:jc w:val="both"/>
        <w:textAlignment w:val="baseline"/>
        <w:outlineLvl w:val="0"/>
        <w:rPr>
          <w:rFonts w:ascii="Georgia" w:eastAsia="Times New Roman" w:hAnsi="Georgia" w:cs="Arial"/>
          <w:kern w:val="36"/>
          <w:sz w:val="20"/>
          <w:szCs w:val="20"/>
          <w:lang w:val="es-ES" w:eastAsia="es-ES"/>
        </w:rPr>
      </w:pPr>
    </w:p>
    <w:p w14:paraId="5E41FCC0" w14:textId="43ADC1A9" w:rsidR="00BD3EEF" w:rsidRDefault="00950599" w:rsidP="008F032E">
      <w:pPr>
        <w:pStyle w:val="ListParagraph"/>
        <w:numPr>
          <w:ilvl w:val="0"/>
          <w:numId w:val="14"/>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S</w:t>
      </w:r>
      <w:r w:rsidR="00BD3EEF">
        <w:rPr>
          <w:rFonts w:ascii="Georgia" w:eastAsia="Times New Roman" w:hAnsi="Georgia" w:cs="Arial"/>
          <w:kern w:val="36"/>
          <w:sz w:val="20"/>
          <w:szCs w:val="20"/>
          <w:lang w:val="es-ES" w:eastAsia="es-ES"/>
        </w:rPr>
        <w:t>i la empresa tuviera a partir de ahora centros afectados por:</w:t>
      </w:r>
    </w:p>
    <w:p w14:paraId="68AD985D" w14:textId="77777777" w:rsidR="00BD3EEF" w:rsidRDefault="00BD3EEF" w:rsidP="00BD3EEF">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p>
    <w:p w14:paraId="54CB8286" w14:textId="41F32C5C" w:rsidR="00BD3EEF" w:rsidRDefault="00BD3EEF" w:rsidP="00BD3EEF">
      <w:pPr>
        <w:pStyle w:val="ListParagraph"/>
        <w:numPr>
          <w:ilvl w:val="0"/>
          <w:numId w:val="13"/>
        </w:numPr>
        <w:shd w:val="clear" w:color="auto" w:fill="FFFFFF"/>
        <w:spacing w:after="150" w:line="360" w:lineRule="atLeast"/>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 xml:space="preserve">Un nuevo </w:t>
      </w:r>
      <w:r w:rsidRPr="00BD3EEF">
        <w:rPr>
          <w:rFonts w:ascii="Georgia" w:eastAsia="Times New Roman" w:hAnsi="Georgia" w:cs="Arial"/>
          <w:kern w:val="36"/>
          <w:sz w:val="20"/>
          <w:szCs w:val="20"/>
          <w:lang w:val="es-ES" w:eastAsia="es-ES"/>
        </w:rPr>
        <w:t xml:space="preserve">ERTE </w:t>
      </w:r>
      <w:r>
        <w:rPr>
          <w:rFonts w:ascii="Georgia" w:eastAsia="Times New Roman" w:hAnsi="Georgia" w:cs="Arial"/>
          <w:kern w:val="36"/>
          <w:sz w:val="20"/>
          <w:szCs w:val="20"/>
          <w:lang w:val="es-ES" w:eastAsia="es-ES"/>
        </w:rPr>
        <w:t>FM llamado “</w:t>
      </w:r>
      <w:r w:rsidRPr="00BD3EEF">
        <w:rPr>
          <w:rFonts w:ascii="Georgia" w:eastAsia="Times New Roman" w:hAnsi="Georgia" w:cs="Arial"/>
          <w:kern w:val="36"/>
          <w:sz w:val="20"/>
          <w:szCs w:val="20"/>
          <w:lang w:val="es-ES" w:eastAsia="es-ES"/>
        </w:rPr>
        <w:t>por</w:t>
      </w:r>
      <w:r>
        <w:rPr>
          <w:rFonts w:ascii="Georgia" w:eastAsia="Times New Roman" w:hAnsi="Georgia" w:cs="Arial"/>
          <w:kern w:val="36"/>
          <w:sz w:val="20"/>
          <w:szCs w:val="20"/>
          <w:lang w:val="es-ES" w:eastAsia="es-ES"/>
        </w:rPr>
        <w:t xml:space="preserve"> </w:t>
      </w:r>
      <w:r w:rsidRPr="00BD3EEF">
        <w:rPr>
          <w:rFonts w:ascii="Georgia" w:eastAsia="Times New Roman" w:hAnsi="Georgia" w:cs="Arial"/>
          <w:kern w:val="36"/>
          <w:sz w:val="20"/>
          <w:szCs w:val="20"/>
          <w:lang w:val="es-ES" w:eastAsia="es-ES"/>
        </w:rPr>
        <w:t>impedimento</w:t>
      </w:r>
      <w:r>
        <w:rPr>
          <w:rFonts w:ascii="Georgia" w:eastAsia="Times New Roman" w:hAnsi="Georgia" w:cs="Arial"/>
          <w:kern w:val="36"/>
          <w:sz w:val="20"/>
          <w:szCs w:val="20"/>
          <w:lang w:val="es-ES" w:eastAsia="es-ES"/>
        </w:rPr>
        <w:t xml:space="preserve">”: empresas que </w:t>
      </w:r>
      <w:r w:rsidRPr="00BD3EEF">
        <w:rPr>
          <w:rFonts w:ascii="Georgia" w:eastAsia="Times New Roman" w:hAnsi="Georgia" w:cs="Arial"/>
          <w:kern w:val="36"/>
          <w:sz w:val="20"/>
          <w:szCs w:val="20"/>
          <w:lang w:val="es-ES" w:eastAsia="es-ES"/>
        </w:rPr>
        <w:t xml:space="preserve">no pueden desarrollar su actividad a resultas de decisiones </w:t>
      </w:r>
      <w:r w:rsidR="003E06FE">
        <w:rPr>
          <w:rFonts w:ascii="Georgia" w:eastAsia="Times New Roman" w:hAnsi="Georgia" w:cs="Arial"/>
          <w:kern w:val="36"/>
          <w:sz w:val="20"/>
          <w:szCs w:val="20"/>
          <w:lang w:val="es-ES" w:eastAsia="es-ES"/>
        </w:rPr>
        <w:t xml:space="preserve">sanitarias </w:t>
      </w:r>
      <w:r w:rsidRPr="00BD3EEF">
        <w:rPr>
          <w:rFonts w:ascii="Georgia" w:eastAsia="Times New Roman" w:hAnsi="Georgia" w:cs="Arial"/>
          <w:kern w:val="36"/>
          <w:sz w:val="20"/>
          <w:szCs w:val="20"/>
          <w:lang w:val="es-ES" w:eastAsia="es-ES"/>
        </w:rPr>
        <w:t>de las autoridades españolas o extranjeras posteriores al 1 de octubre): 100% si tiene menos de 50 trabajadores y de 90% si 50 o más, de octubre a enero incluidos.</w:t>
      </w:r>
    </w:p>
    <w:p w14:paraId="1E5B41D9" w14:textId="24A5B0C5" w:rsidR="00BD3EEF" w:rsidRPr="003E06FE" w:rsidRDefault="003E06FE" w:rsidP="003E06FE">
      <w:pPr>
        <w:pStyle w:val="ListParagraph"/>
        <w:numPr>
          <w:ilvl w:val="0"/>
          <w:numId w:val="13"/>
        </w:numPr>
        <w:shd w:val="clear" w:color="auto" w:fill="FFFFFF"/>
        <w:spacing w:after="150" w:line="360" w:lineRule="atLeast"/>
        <w:textAlignment w:val="baseline"/>
        <w:outlineLvl w:val="0"/>
        <w:rPr>
          <w:rFonts w:ascii="Georgia" w:eastAsia="Times New Roman" w:hAnsi="Georgia" w:cs="Arial"/>
          <w:kern w:val="36"/>
          <w:sz w:val="20"/>
          <w:szCs w:val="20"/>
          <w:lang w:val="es-ES" w:eastAsia="es-ES"/>
        </w:rPr>
      </w:pPr>
      <w:r w:rsidRPr="003E06FE">
        <w:rPr>
          <w:rFonts w:ascii="Georgia" w:eastAsia="Times New Roman" w:hAnsi="Georgia" w:cs="Arial"/>
          <w:kern w:val="36"/>
          <w:sz w:val="20"/>
          <w:szCs w:val="20"/>
          <w:lang w:val="es-ES" w:eastAsia="es-ES"/>
        </w:rPr>
        <w:lastRenderedPageBreak/>
        <w:t xml:space="preserve">Un nuevo </w:t>
      </w:r>
      <w:r w:rsidR="00BD3EEF" w:rsidRPr="003E06FE">
        <w:rPr>
          <w:rFonts w:ascii="Georgia" w:eastAsia="Times New Roman" w:hAnsi="Georgia" w:cs="Arial"/>
          <w:kern w:val="36"/>
          <w:sz w:val="20"/>
          <w:szCs w:val="20"/>
          <w:lang w:val="es-ES" w:eastAsia="es-ES"/>
        </w:rPr>
        <w:t xml:space="preserve">ERTE </w:t>
      </w:r>
      <w:r w:rsidRPr="003E06FE">
        <w:rPr>
          <w:rFonts w:ascii="Georgia" w:eastAsia="Times New Roman" w:hAnsi="Georgia" w:cs="Arial"/>
          <w:kern w:val="36"/>
          <w:sz w:val="20"/>
          <w:szCs w:val="20"/>
          <w:lang w:val="es-ES" w:eastAsia="es-ES"/>
        </w:rPr>
        <w:t>FM</w:t>
      </w:r>
      <w:r w:rsidRPr="003E06FE">
        <w:rPr>
          <w:rFonts w:ascii="Georgia" w:eastAsia="Times New Roman" w:hAnsi="Georgia" w:cs="Arial"/>
          <w:kern w:val="36"/>
          <w:sz w:val="20"/>
          <w:szCs w:val="20"/>
          <w:lang w:val="es-ES" w:eastAsia="es-ES"/>
        </w:rPr>
        <w:t xml:space="preserve"> llamado </w:t>
      </w:r>
      <w:r>
        <w:rPr>
          <w:rFonts w:ascii="Georgia" w:eastAsia="Times New Roman" w:hAnsi="Georgia" w:cs="Arial"/>
          <w:kern w:val="36"/>
          <w:sz w:val="20"/>
          <w:szCs w:val="20"/>
          <w:lang w:val="es-ES" w:eastAsia="es-ES"/>
        </w:rPr>
        <w:t>“</w:t>
      </w:r>
      <w:r w:rsidR="00BD3EEF" w:rsidRPr="003E06FE">
        <w:rPr>
          <w:rFonts w:ascii="Georgia" w:eastAsia="Times New Roman" w:hAnsi="Georgia" w:cs="Arial"/>
          <w:kern w:val="36"/>
          <w:sz w:val="20"/>
          <w:szCs w:val="20"/>
          <w:lang w:val="es-ES" w:eastAsia="es-ES"/>
        </w:rPr>
        <w:t>por limitaciones</w:t>
      </w:r>
      <w:r>
        <w:rPr>
          <w:rFonts w:ascii="Georgia" w:eastAsia="Times New Roman" w:hAnsi="Georgia" w:cs="Arial"/>
          <w:kern w:val="36"/>
          <w:sz w:val="20"/>
          <w:szCs w:val="20"/>
          <w:lang w:val="es-ES" w:eastAsia="es-ES"/>
        </w:rPr>
        <w:t>”</w:t>
      </w:r>
      <w:r w:rsidR="00BD3EEF" w:rsidRPr="003E06FE">
        <w:rPr>
          <w:rFonts w:ascii="Georgia" w:eastAsia="Times New Roman" w:hAnsi="Georgia" w:cs="Arial"/>
          <w:kern w:val="36"/>
          <w:sz w:val="20"/>
          <w:szCs w:val="20"/>
          <w:lang w:val="es-ES" w:eastAsia="es-ES"/>
        </w:rPr>
        <w:t xml:space="preserve"> (su actividad se ve limitada a resultas de decisiones de las autoridades españolas)</w:t>
      </w:r>
      <w:r>
        <w:rPr>
          <w:rFonts w:ascii="Georgia" w:eastAsia="Times New Roman" w:hAnsi="Georgia" w:cs="Arial"/>
          <w:kern w:val="36"/>
          <w:sz w:val="20"/>
          <w:szCs w:val="20"/>
          <w:lang w:val="es-ES" w:eastAsia="es-ES"/>
        </w:rPr>
        <w:t>.</w:t>
      </w:r>
      <w:r w:rsidR="00BD3EEF" w:rsidRPr="003E06FE">
        <w:rPr>
          <w:rFonts w:ascii="Georgia" w:eastAsia="Times New Roman" w:hAnsi="Georgia" w:cs="Arial"/>
          <w:kern w:val="36"/>
          <w:sz w:val="20"/>
          <w:szCs w:val="20"/>
          <w:lang w:val="es-ES" w:eastAsia="es-ES"/>
        </w:rPr>
        <w:t xml:space="preserve"> </w:t>
      </w:r>
    </w:p>
    <w:p w14:paraId="6640E441" w14:textId="248A4CB6" w:rsidR="00BD3EEF" w:rsidRPr="008F032E" w:rsidRDefault="00BD3EEF" w:rsidP="00BD3EEF">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 xml:space="preserve"> </w:t>
      </w:r>
    </w:p>
    <w:tbl>
      <w:tblPr>
        <w:tblW w:w="7940" w:type="dxa"/>
        <w:tblCellMar>
          <w:left w:w="0" w:type="dxa"/>
          <w:right w:w="0" w:type="dxa"/>
        </w:tblCellMar>
        <w:tblLook w:val="04A0" w:firstRow="1" w:lastRow="0" w:firstColumn="1" w:lastColumn="0" w:noHBand="0" w:noVBand="1"/>
      </w:tblPr>
      <w:tblGrid>
        <w:gridCol w:w="2567"/>
        <w:gridCol w:w="1614"/>
        <w:gridCol w:w="1894"/>
        <w:gridCol w:w="1836"/>
        <w:gridCol w:w="1429"/>
      </w:tblGrid>
      <w:tr w:rsidR="003E06FE" w:rsidRPr="003E06FE" w14:paraId="7A3FDFFA" w14:textId="77777777" w:rsidTr="003E06FE">
        <w:tc>
          <w:tcPr>
            <w:tcW w:w="2140" w:type="dxa"/>
            <w:tcBorders>
              <w:top w:val="single" w:sz="8" w:space="0" w:color="FFFFFF"/>
              <w:left w:val="single" w:sz="8" w:space="0" w:color="FFFFFF"/>
              <w:bottom w:val="single" w:sz="24" w:space="0" w:color="FFFFFF"/>
              <w:right w:val="single" w:sz="8" w:space="0" w:color="FFFFFF"/>
            </w:tcBorders>
            <w:shd w:val="clear" w:color="auto" w:fill="D04A02"/>
            <w:tcMar>
              <w:top w:w="15" w:type="dxa"/>
              <w:left w:w="108" w:type="dxa"/>
              <w:bottom w:w="0" w:type="dxa"/>
              <w:right w:w="108" w:type="dxa"/>
            </w:tcMar>
            <w:hideMark/>
          </w:tcPr>
          <w:p w14:paraId="4E229063"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Trabajadores/mes</w:t>
            </w:r>
          </w:p>
        </w:tc>
        <w:tc>
          <w:tcPr>
            <w:tcW w:w="1700" w:type="dxa"/>
            <w:tcBorders>
              <w:top w:val="single" w:sz="8" w:space="0" w:color="FFFFFF"/>
              <w:left w:val="single" w:sz="8" w:space="0" w:color="FFFFFF"/>
              <w:bottom w:val="single" w:sz="24" w:space="0" w:color="FFFFFF"/>
              <w:right w:val="single" w:sz="8" w:space="0" w:color="FFFFFF"/>
            </w:tcBorders>
            <w:shd w:val="clear" w:color="auto" w:fill="D04A02"/>
            <w:tcMar>
              <w:top w:w="15" w:type="dxa"/>
              <w:left w:w="108" w:type="dxa"/>
              <w:bottom w:w="0" w:type="dxa"/>
              <w:right w:w="108" w:type="dxa"/>
            </w:tcMar>
            <w:hideMark/>
          </w:tcPr>
          <w:p w14:paraId="1F0A0533"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Octubre</w:t>
            </w:r>
          </w:p>
        </w:tc>
        <w:tc>
          <w:tcPr>
            <w:tcW w:w="1360" w:type="dxa"/>
            <w:tcBorders>
              <w:top w:val="single" w:sz="8" w:space="0" w:color="FFFFFF"/>
              <w:left w:val="single" w:sz="8" w:space="0" w:color="FFFFFF"/>
              <w:bottom w:val="single" w:sz="24" w:space="0" w:color="FFFFFF"/>
              <w:right w:val="single" w:sz="8" w:space="0" w:color="FFFFFF"/>
            </w:tcBorders>
            <w:shd w:val="clear" w:color="auto" w:fill="D04A02"/>
            <w:tcMar>
              <w:top w:w="15" w:type="dxa"/>
              <w:left w:w="108" w:type="dxa"/>
              <w:bottom w:w="0" w:type="dxa"/>
              <w:right w:w="108" w:type="dxa"/>
            </w:tcMar>
            <w:hideMark/>
          </w:tcPr>
          <w:p w14:paraId="5E764A32"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Noviembre</w:t>
            </w:r>
          </w:p>
        </w:tc>
        <w:tc>
          <w:tcPr>
            <w:tcW w:w="1360" w:type="dxa"/>
            <w:tcBorders>
              <w:top w:val="single" w:sz="8" w:space="0" w:color="FFFFFF"/>
              <w:left w:val="single" w:sz="8" w:space="0" w:color="FFFFFF"/>
              <w:bottom w:val="single" w:sz="24" w:space="0" w:color="FFFFFF"/>
              <w:right w:val="single" w:sz="8" w:space="0" w:color="FFFFFF"/>
            </w:tcBorders>
            <w:shd w:val="clear" w:color="auto" w:fill="D04A02"/>
            <w:tcMar>
              <w:top w:w="15" w:type="dxa"/>
              <w:left w:w="108" w:type="dxa"/>
              <w:bottom w:w="0" w:type="dxa"/>
              <w:right w:w="108" w:type="dxa"/>
            </w:tcMar>
            <w:hideMark/>
          </w:tcPr>
          <w:p w14:paraId="7B0943BE"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Diciembre</w:t>
            </w:r>
          </w:p>
        </w:tc>
        <w:tc>
          <w:tcPr>
            <w:tcW w:w="1360" w:type="dxa"/>
            <w:tcBorders>
              <w:top w:val="single" w:sz="8" w:space="0" w:color="FFFFFF"/>
              <w:left w:val="single" w:sz="8" w:space="0" w:color="FFFFFF"/>
              <w:bottom w:val="single" w:sz="24" w:space="0" w:color="FFFFFF"/>
              <w:right w:val="single" w:sz="8" w:space="0" w:color="FFFFFF"/>
            </w:tcBorders>
            <w:shd w:val="clear" w:color="auto" w:fill="D04A02"/>
            <w:tcMar>
              <w:top w:w="15" w:type="dxa"/>
              <w:left w:w="108" w:type="dxa"/>
              <w:bottom w:w="0" w:type="dxa"/>
              <w:right w:w="108" w:type="dxa"/>
            </w:tcMar>
            <w:hideMark/>
          </w:tcPr>
          <w:p w14:paraId="2D78B939"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Enero</w:t>
            </w:r>
          </w:p>
          <w:p w14:paraId="0B669A73"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 </w:t>
            </w:r>
          </w:p>
        </w:tc>
      </w:tr>
      <w:tr w:rsidR="003E06FE" w:rsidRPr="003E06FE" w14:paraId="21ACA66F" w14:textId="77777777" w:rsidTr="003E06FE">
        <w:tc>
          <w:tcPr>
            <w:tcW w:w="2140" w:type="dxa"/>
            <w:tcBorders>
              <w:top w:val="single" w:sz="24" w:space="0" w:color="FFFFFF"/>
              <w:left w:val="single" w:sz="8" w:space="0" w:color="FFFFFF"/>
              <w:bottom w:val="single" w:sz="8" w:space="0" w:color="FFFFFF"/>
              <w:right w:val="single" w:sz="8" w:space="0" w:color="FFFFFF"/>
            </w:tcBorders>
            <w:shd w:val="clear" w:color="auto" w:fill="D04A02"/>
            <w:tcMar>
              <w:top w:w="15" w:type="dxa"/>
              <w:left w:w="108" w:type="dxa"/>
              <w:bottom w:w="0" w:type="dxa"/>
              <w:right w:w="108" w:type="dxa"/>
            </w:tcMar>
            <w:hideMark/>
          </w:tcPr>
          <w:p w14:paraId="7F806E7B"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Menos de 50</w:t>
            </w:r>
          </w:p>
        </w:tc>
        <w:tc>
          <w:tcPr>
            <w:tcW w:w="1700" w:type="dxa"/>
            <w:tcBorders>
              <w:top w:val="single" w:sz="24" w:space="0" w:color="FFFFFF"/>
              <w:left w:val="single" w:sz="8" w:space="0" w:color="FFFFFF"/>
              <w:bottom w:val="single" w:sz="8" w:space="0" w:color="FFFFFF"/>
              <w:right w:val="single" w:sz="8" w:space="0" w:color="FFFFFF"/>
            </w:tcBorders>
            <w:shd w:val="clear" w:color="auto" w:fill="EED0CB"/>
            <w:tcMar>
              <w:top w:w="15" w:type="dxa"/>
              <w:left w:w="108" w:type="dxa"/>
              <w:bottom w:w="0" w:type="dxa"/>
              <w:right w:w="108" w:type="dxa"/>
            </w:tcMar>
            <w:hideMark/>
          </w:tcPr>
          <w:p w14:paraId="7D1B5DD7"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100%</w:t>
            </w:r>
          </w:p>
        </w:tc>
        <w:tc>
          <w:tcPr>
            <w:tcW w:w="1360" w:type="dxa"/>
            <w:tcBorders>
              <w:top w:val="single" w:sz="24" w:space="0" w:color="FFFFFF"/>
              <w:left w:val="single" w:sz="8" w:space="0" w:color="FFFFFF"/>
              <w:bottom w:val="single" w:sz="8" w:space="0" w:color="FFFFFF"/>
              <w:right w:val="single" w:sz="8" w:space="0" w:color="FFFFFF"/>
            </w:tcBorders>
            <w:shd w:val="clear" w:color="auto" w:fill="EED0CB"/>
            <w:tcMar>
              <w:top w:w="15" w:type="dxa"/>
              <w:left w:w="108" w:type="dxa"/>
              <w:bottom w:w="0" w:type="dxa"/>
              <w:right w:w="108" w:type="dxa"/>
            </w:tcMar>
            <w:hideMark/>
          </w:tcPr>
          <w:p w14:paraId="1DEBF65F"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90%</w:t>
            </w:r>
          </w:p>
        </w:tc>
        <w:tc>
          <w:tcPr>
            <w:tcW w:w="1360" w:type="dxa"/>
            <w:tcBorders>
              <w:top w:val="single" w:sz="24" w:space="0" w:color="FFFFFF"/>
              <w:left w:val="single" w:sz="8" w:space="0" w:color="FFFFFF"/>
              <w:bottom w:val="single" w:sz="8" w:space="0" w:color="FFFFFF"/>
              <w:right w:val="single" w:sz="8" w:space="0" w:color="FFFFFF"/>
            </w:tcBorders>
            <w:shd w:val="clear" w:color="auto" w:fill="EED0CB"/>
            <w:tcMar>
              <w:top w:w="15" w:type="dxa"/>
              <w:left w:w="108" w:type="dxa"/>
              <w:bottom w:w="0" w:type="dxa"/>
              <w:right w:w="108" w:type="dxa"/>
            </w:tcMar>
            <w:hideMark/>
          </w:tcPr>
          <w:p w14:paraId="00575855"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85%</w:t>
            </w:r>
          </w:p>
        </w:tc>
        <w:tc>
          <w:tcPr>
            <w:tcW w:w="1360" w:type="dxa"/>
            <w:tcBorders>
              <w:top w:val="single" w:sz="24" w:space="0" w:color="FFFFFF"/>
              <w:left w:val="single" w:sz="8" w:space="0" w:color="FFFFFF"/>
              <w:bottom w:val="single" w:sz="8" w:space="0" w:color="FFFFFF"/>
              <w:right w:val="single" w:sz="8" w:space="0" w:color="FFFFFF"/>
            </w:tcBorders>
            <w:shd w:val="clear" w:color="auto" w:fill="EED0CB"/>
            <w:tcMar>
              <w:top w:w="15" w:type="dxa"/>
              <w:left w:w="108" w:type="dxa"/>
              <w:bottom w:w="0" w:type="dxa"/>
              <w:right w:w="108" w:type="dxa"/>
            </w:tcMar>
            <w:hideMark/>
          </w:tcPr>
          <w:p w14:paraId="31E462BC"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80%</w:t>
            </w:r>
          </w:p>
        </w:tc>
      </w:tr>
      <w:tr w:rsidR="003E06FE" w:rsidRPr="003E06FE" w14:paraId="00C7A6E2" w14:textId="77777777" w:rsidTr="003E06FE">
        <w:tc>
          <w:tcPr>
            <w:tcW w:w="2140" w:type="dxa"/>
            <w:tcBorders>
              <w:top w:val="single" w:sz="8" w:space="0" w:color="FFFFFF"/>
              <w:left w:val="single" w:sz="8" w:space="0" w:color="FFFFFF"/>
              <w:bottom w:val="single" w:sz="8" w:space="0" w:color="FFFFFF"/>
              <w:right w:val="single" w:sz="8" w:space="0" w:color="FFFFFF"/>
            </w:tcBorders>
            <w:shd w:val="clear" w:color="auto" w:fill="D04A02"/>
            <w:tcMar>
              <w:top w:w="15" w:type="dxa"/>
              <w:left w:w="108" w:type="dxa"/>
              <w:bottom w:w="0" w:type="dxa"/>
              <w:right w:w="108" w:type="dxa"/>
            </w:tcMar>
            <w:hideMark/>
          </w:tcPr>
          <w:p w14:paraId="7779B3E8"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50 o más</w:t>
            </w:r>
          </w:p>
        </w:tc>
        <w:tc>
          <w:tcPr>
            <w:tcW w:w="1700" w:type="dxa"/>
            <w:tcBorders>
              <w:top w:val="single" w:sz="8" w:space="0" w:color="FFFFFF"/>
              <w:left w:val="single" w:sz="8" w:space="0" w:color="FFFFFF"/>
              <w:bottom w:val="single" w:sz="8" w:space="0" w:color="FFFFFF"/>
              <w:right w:val="single" w:sz="8" w:space="0" w:color="FFFFFF"/>
            </w:tcBorders>
            <w:shd w:val="clear" w:color="auto" w:fill="F7E9E7"/>
            <w:tcMar>
              <w:top w:w="15" w:type="dxa"/>
              <w:left w:w="108" w:type="dxa"/>
              <w:bottom w:w="0" w:type="dxa"/>
              <w:right w:w="108" w:type="dxa"/>
            </w:tcMar>
            <w:hideMark/>
          </w:tcPr>
          <w:p w14:paraId="12F7C558"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90%</w:t>
            </w:r>
          </w:p>
        </w:tc>
        <w:tc>
          <w:tcPr>
            <w:tcW w:w="1360" w:type="dxa"/>
            <w:tcBorders>
              <w:top w:val="single" w:sz="8" w:space="0" w:color="FFFFFF"/>
              <w:left w:val="single" w:sz="8" w:space="0" w:color="FFFFFF"/>
              <w:bottom w:val="single" w:sz="8" w:space="0" w:color="FFFFFF"/>
              <w:right w:val="single" w:sz="8" w:space="0" w:color="FFFFFF"/>
            </w:tcBorders>
            <w:shd w:val="clear" w:color="auto" w:fill="F7E9E7"/>
            <w:tcMar>
              <w:top w:w="15" w:type="dxa"/>
              <w:left w:w="108" w:type="dxa"/>
              <w:bottom w:w="0" w:type="dxa"/>
              <w:right w:w="108" w:type="dxa"/>
            </w:tcMar>
            <w:hideMark/>
          </w:tcPr>
          <w:p w14:paraId="465A7066"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80%</w:t>
            </w:r>
          </w:p>
        </w:tc>
        <w:tc>
          <w:tcPr>
            <w:tcW w:w="1360" w:type="dxa"/>
            <w:tcBorders>
              <w:top w:val="single" w:sz="8" w:space="0" w:color="FFFFFF"/>
              <w:left w:val="single" w:sz="8" w:space="0" w:color="FFFFFF"/>
              <w:bottom w:val="single" w:sz="8" w:space="0" w:color="FFFFFF"/>
              <w:right w:val="single" w:sz="8" w:space="0" w:color="FFFFFF"/>
            </w:tcBorders>
            <w:shd w:val="clear" w:color="auto" w:fill="F7E9E7"/>
            <w:tcMar>
              <w:top w:w="15" w:type="dxa"/>
              <w:left w:w="108" w:type="dxa"/>
              <w:bottom w:w="0" w:type="dxa"/>
              <w:right w:w="108" w:type="dxa"/>
            </w:tcMar>
            <w:hideMark/>
          </w:tcPr>
          <w:p w14:paraId="1696D213"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75%</w:t>
            </w:r>
          </w:p>
        </w:tc>
        <w:tc>
          <w:tcPr>
            <w:tcW w:w="1360" w:type="dxa"/>
            <w:tcBorders>
              <w:top w:val="single" w:sz="8" w:space="0" w:color="FFFFFF"/>
              <w:left w:val="single" w:sz="8" w:space="0" w:color="FFFFFF"/>
              <w:bottom w:val="single" w:sz="8" w:space="0" w:color="FFFFFF"/>
              <w:right w:val="single" w:sz="8" w:space="0" w:color="FFFFFF"/>
            </w:tcBorders>
            <w:shd w:val="clear" w:color="auto" w:fill="F7E9E7"/>
            <w:tcMar>
              <w:top w:w="15" w:type="dxa"/>
              <w:left w:w="108" w:type="dxa"/>
              <w:bottom w:w="0" w:type="dxa"/>
              <w:right w:w="108" w:type="dxa"/>
            </w:tcMar>
            <w:hideMark/>
          </w:tcPr>
          <w:p w14:paraId="3305CE49" w14:textId="77777777" w:rsidR="003E06FE" w:rsidRPr="003E06FE" w:rsidRDefault="003E06FE" w:rsidP="003E06FE">
            <w:pPr>
              <w:pStyle w:val="ListParagraph"/>
              <w:shd w:val="clear" w:color="auto" w:fill="FFFFFF"/>
              <w:spacing w:after="150" w:line="360" w:lineRule="atLeast"/>
              <w:textAlignment w:val="baseline"/>
              <w:outlineLvl w:val="0"/>
              <w:rPr>
                <w:rFonts w:ascii="Georgia" w:eastAsia="Times New Roman" w:hAnsi="Georgia" w:cs="Arial"/>
                <w:b/>
                <w:bCs/>
                <w:kern w:val="36"/>
                <w:sz w:val="20"/>
                <w:szCs w:val="20"/>
                <w:lang w:val="es-ES" w:eastAsia="es-ES"/>
              </w:rPr>
            </w:pPr>
            <w:r w:rsidRPr="003E06FE">
              <w:rPr>
                <w:rFonts w:ascii="Georgia" w:eastAsia="Times New Roman" w:hAnsi="Georgia" w:cs="Arial"/>
                <w:b/>
                <w:bCs/>
                <w:kern w:val="36"/>
                <w:sz w:val="20"/>
                <w:szCs w:val="20"/>
                <w:lang w:val="es-ES" w:eastAsia="es-ES"/>
              </w:rPr>
              <w:t>70%</w:t>
            </w:r>
          </w:p>
        </w:tc>
      </w:tr>
    </w:tbl>
    <w:p w14:paraId="405DAE44" w14:textId="77777777" w:rsidR="00BD3EEF" w:rsidRDefault="00BD3EEF" w:rsidP="008F032E">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4D70AFC0" w14:textId="77777777" w:rsidR="00F0643F" w:rsidRDefault="00F0643F" w:rsidP="00003362">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r>
        <w:rPr>
          <w:rFonts w:ascii="Georgia" w:eastAsia="Times New Roman" w:hAnsi="Georgia" w:cs="Arial"/>
          <w:b/>
          <w:bCs/>
          <w:kern w:val="36"/>
          <w:sz w:val="20"/>
          <w:szCs w:val="20"/>
          <w:lang w:val="es-ES" w:eastAsia="es-ES"/>
        </w:rPr>
        <w:t>En el caso de concesionarios que solicitaran exenciones de las comentadas en la pregunta 1), ¿cómo afectaría al compromiso de mantenimiento del empleo?</w:t>
      </w:r>
    </w:p>
    <w:p w14:paraId="3A0F33EB" w14:textId="77777777" w:rsidR="00F0643F" w:rsidRDefault="00F0643F" w:rsidP="00F0643F">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0F5DB17E" w14:textId="1CC7A6B9" w:rsidR="00F0643F" w:rsidRPr="00F0643F" w:rsidRDefault="00F0643F" w:rsidP="00F0643F">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sidRPr="00F0643F">
        <w:rPr>
          <w:rFonts w:ascii="Georgia" w:eastAsia="Times New Roman" w:hAnsi="Georgia" w:cs="Arial"/>
          <w:kern w:val="36"/>
          <w:sz w:val="20"/>
          <w:szCs w:val="20"/>
          <w:lang w:val="es-ES" w:eastAsia="es-ES"/>
        </w:rPr>
        <w:t xml:space="preserve">Se alargaría seis meses más. </w:t>
      </w:r>
      <w:r>
        <w:rPr>
          <w:rFonts w:ascii="Georgia" w:eastAsia="Times New Roman" w:hAnsi="Georgia" w:cs="Arial"/>
          <w:kern w:val="36"/>
          <w:sz w:val="20"/>
          <w:szCs w:val="20"/>
          <w:lang w:val="es-ES" w:eastAsia="es-ES"/>
        </w:rPr>
        <w:t>Es decir, una vez finalizaran los seis meses del compromiso de mantenimiento de empleo (que empezaron a contar desde la reactivación de parte de la plantilla afectada por ERTE), empezaría otro plazo de seis meses.</w:t>
      </w:r>
    </w:p>
    <w:p w14:paraId="71212076" w14:textId="77777777" w:rsidR="00F0643F" w:rsidRDefault="00F0643F" w:rsidP="00F0643F">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5ADE134B" w14:textId="0B67275C" w:rsidR="00C50B8A" w:rsidRDefault="00C50B8A" w:rsidP="00003362">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r>
        <w:rPr>
          <w:rFonts w:ascii="Georgia" w:eastAsia="Times New Roman" w:hAnsi="Georgia" w:cs="Arial"/>
          <w:b/>
          <w:bCs/>
          <w:kern w:val="36"/>
          <w:sz w:val="20"/>
          <w:szCs w:val="20"/>
          <w:lang w:val="es-ES" w:eastAsia="es-ES"/>
        </w:rPr>
        <w:t xml:space="preserve">En el caso de concesionarios que a 30 de septiembre siguen aplicando ERTE por fuerza mayor y </w:t>
      </w:r>
      <w:r w:rsidR="00F0643F">
        <w:rPr>
          <w:rFonts w:ascii="Georgia" w:eastAsia="Times New Roman" w:hAnsi="Georgia" w:cs="Arial"/>
          <w:b/>
          <w:bCs/>
          <w:kern w:val="36"/>
          <w:sz w:val="20"/>
          <w:szCs w:val="20"/>
          <w:lang w:val="es-ES" w:eastAsia="es-ES"/>
        </w:rPr>
        <w:t xml:space="preserve">han dejado </w:t>
      </w:r>
      <w:r>
        <w:rPr>
          <w:rFonts w:ascii="Georgia" w:eastAsia="Times New Roman" w:hAnsi="Georgia" w:cs="Arial"/>
          <w:b/>
          <w:bCs/>
          <w:kern w:val="36"/>
          <w:sz w:val="20"/>
          <w:szCs w:val="20"/>
          <w:lang w:val="es-ES" w:eastAsia="es-ES"/>
        </w:rPr>
        <w:t xml:space="preserve">tramitado </w:t>
      </w:r>
      <w:r w:rsidR="00F0643F">
        <w:rPr>
          <w:rFonts w:ascii="Georgia" w:eastAsia="Times New Roman" w:hAnsi="Georgia" w:cs="Arial"/>
          <w:b/>
          <w:bCs/>
          <w:kern w:val="36"/>
          <w:sz w:val="20"/>
          <w:szCs w:val="20"/>
          <w:lang w:val="es-ES" w:eastAsia="es-ES"/>
        </w:rPr>
        <w:t xml:space="preserve">en paralelo </w:t>
      </w:r>
      <w:r>
        <w:rPr>
          <w:rFonts w:ascii="Georgia" w:eastAsia="Times New Roman" w:hAnsi="Georgia" w:cs="Arial"/>
          <w:b/>
          <w:bCs/>
          <w:kern w:val="36"/>
          <w:sz w:val="20"/>
          <w:szCs w:val="20"/>
          <w:lang w:val="es-ES" w:eastAsia="es-ES"/>
        </w:rPr>
        <w:t>un ERTE ETOP</w:t>
      </w:r>
      <w:r w:rsidR="00F0643F">
        <w:rPr>
          <w:rFonts w:ascii="Georgia" w:eastAsia="Times New Roman" w:hAnsi="Georgia" w:cs="Arial"/>
          <w:b/>
          <w:bCs/>
          <w:kern w:val="36"/>
          <w:sz w:val="20"/>
          <w:szCs w:val="20"/>
          <w:lang w:val="es-ES" w:eastAsia="es-ES"/>
        </w:rPr>
        <w:t xml:space="preserve"> para que entre en vigor a continuación</w:t>
      </w:r>
      <w:r>
        <w:rPr>
          <w:rFonts w:ascii="Georgia" w:eastAsia="Times New Roman" w:hAnsi="Georgia" w:cs="Arial"/>
          <w:b/>
          <w:bCs/>
          <w:kern w:val="36"/>
          <w:sz w:val="20"/>
          <w:szCs w:val="20"/>
          <w:lang w:val="es-ES" w:eastAsia="es-ES"/>
        </w:rPr>
        <w:t>, ¿qué alternativas les ofrece el RDL?</w:t>
      </w:r>
    </w:p>
    <w:p w14:paraId="022DC62F" w14:textId="31189938" w:rsidR="00C50B8A" w:rsidRDefault="00C50B8A" w:rsidP="00C50B8A">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17BAD044" w14:textId="6F0E4BDF" w:rsidR="00C50B8A" w:rsidRDefault="00C50B8A" w:rsidP="00C50B8A">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Pueden optar entre:</w:t>
      </w:r>
    </w:p>
    <w:p w14:paraId="12818B1F" w14:textId="0EC2E753" w:rsidR="00C50B8A" w:rsidRDefault="00C50B8A" w:rsidP="00C50B8A">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p>
    <w:p w14:paraId="5FB98130" w14:textId="7FE7C1B4" w:rsidR="00BD3EEF" w:rsidRDefault="00C50B8A" w:rsidP="008F032E">
      <w:pPr>
        <w:pStyle w:val="ListParagraph"/>
        <w:numPr>
          <w:ilvl w:val="0"/>
          <w:numId w:val="10"/>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Continuar aplicando el ERTE</w:t>
      </w:r>
      <w:r w:rsidR="00BD3EEF">
        <w:rPr>
          <w:rFonts w:ascii="Georgia" w:eastAsia="Times New Roman" w:hAnsi="Georgia" w:cs="Arial"/>
          <w:kern w:val="36"/>
          <w:sz w:val="20"/>
          <w:szCs w:val="20"/>
          <w:lang w:val="es-ES" w:eastAsia="es-ES"/>
        </w:rPr>
        <w:t xml:space="preserve"> FM</w:t>
      </w:r>
      <w:r w:rsidR="003E06FE">
        <w:rPr>
          <w:rFonts w:ascii="Georgia" w:eastAsia="Times New Roman" w:hAnsi="Georgia" w:cs="Arial"/>
          <w:kern w:val="36"/>
          <w:sz w:val="20"/>
          <w:szCs w:val="20"/>
          <w:lang w:val="es-ES" w:eastAsia="es-ES"/>
        </w:rPr>
        <w:t xml:space="preserve"> (que se prorroga automáticamente)</w:t>
      </w:r>
      <w:r w:rsidR="00BD3EEF">
        <w:rPr>
          <w:rFonts w:ascii="Georgia" w:eastAsia="Times New Roman" w:hAnsi="Georgia" w:cs="Arial"/>
          <w:kern w:val="36"/>
          <w:sz w:val="20"/>
          <w:szCs w:val="20"/>
          <w:lang w:val="es-ES" w:eastAsia="es-ES"/>
        </w:rPr>
        <w:t>:</w:t>
      </w:r>
    </w:p>
    <w:p w14:paraId="4A711499" w14:textId="77777777" w:rsidR="00BD3EEF" w:rsidRDefault="00BD3EEF" w:rsidP="00BD3EEF">
      <w:pPr>
        <w:pStyle w:val="ListParagraph"/>
        <w:shd w:val="clear" w:color="auto" w:fill="FFFFFF"/>
        <w:spacing w:after="150" w:line="360" w:lineRule="atLeast"/>
        <w:ind w:left="1440"/>
        <w:jc w:val="both"/>
        <w:textAlignment w:val="baseline"/>
        <w:outlineLvl w:val="0"/>
        <w:rPr>
          <w:rFonts w:ascii="Georgia" w:eastAsia="Times New Roman" w:hAnsi="Georgia" w:cs="Arial"/>
          <w:kern w:val="36"/>
          <w:sz w:val="20"/>
          <w:szCs w:val="20"/>
          <w:lang w:val="es-ES" w:eastAsia="es-ES"/>
        </w:rPr>
      </w:pPr>
    </w:p>
    <w:p w14:paraId="6631246E" w14:textId="78FF10E5" w:rsidR="00C50B8A" w:rsidRDefault="00BD3EEF" w:rsidP="00BD3EEF">
      <w:pPr>
        <w:pStyle w:val="ListParagraph"/>
        <w:numPr>
          <w:ilvl w:val="0"/>
          <w:numId w:val="11"/>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No requiere comunicación a la Autoridad Laboral porque la prórroga es automática, es decir, se prorroga hasta el 31 de enero de 2021 salvo que se renuncie a este ERTE antes).</w:t>
      </w:r>
    </w:p>
    <w:p w14:paraId="6C3820CB" w14:textId="5FF96016" w:rsidR="003E06FE" w:rsidRDefault="003E06FE" w:rsidP="00BD3EEF">
      <w:pPr>
        <w:pStyle w:val="ListParagraph"/>
        <w:numPr>
          <w:ilvl w:val="0"/>
          <w:numId w:val="11"/>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Requiere prese</w:t>
      </w:r>
      <w:r w:rsidR="00BD0737">
        <w:rPr>
          <w:rFonts w:ascii="Georgia" w:eastAsia="Times New Roman" w:hAnsi="Georgia" w:cs="Arial"/>
          <w:kern w:val="36"/>
          <w:sz w:val="20"/>
          <w:szCs w:val="20"/>
          <w:lang w:val="es-ES" w:eastAsia="es-ES"/>
        </w:rPr>
        <w:t>ntar nueva solicitud colectiva de desempleo antes del 20 de octubre.</w:t>
      </w:r>
    </w:p>
    <w:p w14:paraId="2135577E" w14:textId="7CE82765" w:rsidR="00BD3EEF" w:rsidRDefault="00BD3EEF" w:rsidP="00BD0737">
      <w:pPr>
        <w:pStyle w:val="ListParagraph"/>
        <w:shd w:val="clear" w:color="auto" w:fill="FFFFFF"/>
        <w:spacing w:after="150" w:line="360" w:lineRule="atLeast"/>
        <w:ind w:left="1800"/>
        <w:jc w:val="both"/>
        <w:textAlignment w:val="baseline"/>
        <w:outlineLvl w:val="0"/>
        <w:rPr>
          <w:rFonts w:ascii="Georgia" w:eastAsia="Times New Roman" w:hAnsi="Georgia" w:cs="Arial"/>
          <w:kern w:val="36"/>
          <w:sz w:val="20"/>
          <w:szCs w:val="20"/>
          <w:lang w:val="es-ES" w:eastAsia="es-ES"/>
        </w:rPr>
      </w:pPr>
    </w:p>
    <w:p w14:paraId="713C541C" w14:textId="1856EAB3" w:rsidR="00BD0737" w:rsidRDefault="00BD0737" w:rsidP="00BD0737">
      <w:pPr>
        <w:pStyle w:val="ListParagraph"/>
        <w:numPr>
          <w:ilvl w:val="0"/>
          <w:numId w:val="10"/>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Renunciar al ERTE FM y empezar a aplicar el ERTE ETOP:</w:t>
      </w:r>
    </w:p>
    <w:p w14:paraId="597692D8" w14:textId="34EC3CB0" w:rsidR="00BD0737" w:rsidRDefault="00BD0737" w:rsidP="00BD0737">
      <w:pPr>
        <w:pStyle w:val="ListParagraph"/>
        <w:shd w:val="clear" w:color="auto" w:fill="FFFFFF"/>
        <w:spacing w:after="150" w:line="360" w:lineRule="atLeast"/>
        <w:ind w:left="1440"/>
        <w:jc w:val="both"/>
        <w:textAlignment w:val="baseline"/>
        <w:outlineLvl w:val="0"/>
        <w:rPr>
          <w:rFonts w:ascii="Georgia" w:eastAsia="Times New Roman" w:hAnsi="Georgia" w:cs="Arial"/>
          <w:kern w:val="36"/>
          <w:sz w:val="20"/>
          <w:szCs w:val="20"/>
          <w:lang w:val="es-ES" w:eastAsia="es-ES"/>
        </w:rPr>
      </w:pPr>
    </w:p>
    <w:p w14:paraId="65E10C12" w14:textId="27E97051" w:rsidR="00BD0737" w:rsidRDefault="00BD0737" w:rsidP="00BD0737">
      <w:pPr>
        <w:pStyle w:val="ListParagraph"/>
        <w:numPr>
          <w:ilvl w:val="0"/>
          <w:numId w:val="11"/>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Requiere comunicar a la Autoridad Laboral renuncia al ERTE FM (hay plazo de hasta 15 días después de la fecha de efectos de la renuncia). Así por ejemplo, se puede comunicar el 15 de octubre renuncia de efectos el 30 de septiembre.</w:t>
      </w:r>
    </w:p>
    <w:p w14:paraId="41868C99" w14:textId="22901E08" w:rsidR="008F032E" w:rsidRDefault="008F032E" w:rsidP="00BD0737">
      <w:pPr>
        <w:pStyle w:val="ListParagraph"/>
        <w:numPr>
          <w:ilvl w:val="0"/>
          <w:numId w:val="11"/>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lastRenderedPageBreak/>
        <w:t>Hay que informar que se renuncia al ERTE FM y por lo tanto que se desafectan del desempleo a todos los trabajadores.</w:t>
      </w:r>
    </w:p>
    <w:p w14:paraId="5765DCCB" w14:textId="2D86E169" w:rsidR="00BD0737" w:rsidRDefault="00BD0737" w:rsidP="008F032E">
      <w:pPr>
        <w:pStyle w:val="ListParagraph"/>
        <w:numPr>
          <w:ilvl w:val="0"/>
          <w:numId w:val="11"/>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 xml:space="preserve">La empresa debe comprobar la documentación del ERTE ETOP comunicada a la Autoridad Laboral y al SEPE para comprobar si puede empezar a aplicar el ERTE ETOP en los términos ya comunicados (fecha de inicio, trabajadores afectados, fechas de inicio de afectación) </w:t>
      </w:r>
      <w:r w:rsidR="008F032E">
        <w:rPr>
          <w:rFonts w:ascii="Georgia" w:eastAsia="Times New Roman" w:hAnsi="Georgia" w:cs="Arial"/>
          <w:kern w:val="36"/>
          <w:sz w:val="20"/>
          <w:szCs w:val="20"/>
          <w:lang w:val="es-ES" w:eastAsia="es-ES"/>
        </w:rPr>
        <w:t>o si debe hacer nuevas comunicaciones para adaptarse a su situación actual.</w:t>
      </w:r>
      <w:r>
        <w:rPr>
          <w:rFonts w:ascii="Georgia" w:eastAsia="Times New Roman" w:hAnsi="Georgia" w:cs="Arial"/>
          <w:kern w:val="36"/>
          <w:sz w:val="20"/>
          <w:szCs w:val="20"/>
          <w:lang w:val="es-ES" w:eastAsia="es-ES"/>
        </w:rPr>
        <w:t xml:space="preserve">  </w:t>
      </w:r>
    </w:p>
    <w:p w14:paraId="27C6B6C0" w14:textId="29D1D99B" w:rsidR="00F0643F" w:rsidRDefault="008F032E" w:rsidP="008F032E">
      <w:pPr>
        <w:shd w:val="clear" w:color="auto" w:fill="FFFFFF"/>
        <w:spacing w:after="150" w:line="360" w:lineRule="atLeast"/>
        <w:ind w:left="720"/>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 xml:space="preserve">En general, parece que dado que el sector está en general en un nivel de actividad importante, tiene sentido transitar </w:t>
      </w:r>
      <w:r w:rsidR="00F0643F">
        <w:rPr>
          <w:rFonts w:ascii="Georgia" w:eastAsia="Times New Roman" w:hAnsi="Georgia" w:cs="Arial"/>
          <w:kern w:val="36"/>
          <w:sz w:val="20"/>
          <w:szCs w:val="20"/>
          <w:lang w:val="es-ES" w:eastAsia="es-ES"/>
        </w:rPr>
        <w:t xml:space="preserve">ya </w:t>
      </w:r>
      <w:r>
        <w:rPr>
          <w:rFonts w:ascii="Georgia" w:eastAsia="Times New Roman" w:hAnsi="Georgia" w:cs="Arial"/>
          <w:kern w:val="36"/>
          <w:sz w:val="20"/>
          <w:szCs w:val="20"/>
          <w:lang w:val="es-ES" w:eastAsia="es-ES"/>
        </w:rPr>
        <w:t>hacia el ERTE ETOP</w:t>
      </w:r>
      <w:r w:rsidR="00F0643F">
        <w:rPr>
          <w:rFonts w:ascii="Georgia" w:eastAsia="Times New Roman" w:hAnsi="Georgia" w:cs="Arial"/>
          <w:kern w:val="36"/>
          <w:sz w:val="20"/>
          <w:szCs w:val="20"/>
          <w:lang w:val="es-ES" w:eastAsia="es-ES"/>
        </w:rPr>
        <w:t xml:space="preserve"> en los próximos días.</w:t>
      </w:r>
    </w:p>
    <w:p w14:paraId="380893B4" w14:textId="0CF67F40" w:rsidR="00DB32D9" w:rsidRDefault="00DB32D9" w:rsidP="008F032E">
      <w:pPr>
        <w:shd w:val="clear" w:color="auto" w:fill="FFFFFF"/>
        <w:spacing w:after="150" w:line="360" w:lineRule="atLeast"/>
        <w:ind w:left="720"/>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 xml:space="preserve">Por último, las empresas que hayan tramitado un ERTE ETOP pero </w:t>
      </w:r>
      <w:r w:rsidR="00112E36">
        <w:rPr>
          <w:rFonts w:ascii="Georgia" w:eastAsia="Times New Roman" w:hAnsi="Georgia" w:cs="Arial"/>
          <w:kern w:val="36"/>
          <w:sz w:val="20"/>
          <w:szCs w:val="20"/>
          <w:lang w:val="es-ES" w:eastAsia="es-ES"/>
        </w:rPr>
        <w:t>hayan recuperado completamente su nivel de actividad, pueden renunciar también al ERTE ETOP si prefieren no aplicarlo.</w:t>
      </w:r>
    </w:p>
    <w:p w14:paraId="1EE7E2C2" w14:textId="0871BD2D" w:rsidR="00F0643F" w:rsidRDefault="00F0643F" w:rsidP="00F0643F">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r>
        <w:rPr>
          <w:rFonts w:ascii="Georgia" w:eastAsia="Times New Roman" w:hAnsi="Georgia" w:cs="Arial"/>
          <w:b/>
          <w:bCs/>
          <w:kern w:val="36"/>
          <w:sz w:val="20"/>
          <w:szCs w:val="20"/>
          <w:lang w:val="es-ES" w:eastAsia="es-ES"/>
        </w:rPr>
        <w:t xml:space="preserve">En el caso de concesionarios que a 30 de septiembre siguen aplicando ERTE por fuerza mayor y </w:t>
      </w:r>
      <w:r>
        <w:rPr>
          <w:rFonts w:ascii="Georgia" w:eastAsia="Times New Roman" w:hAnsi="Georgia" w:cs="Arial"/>
          <w:b/>
          <w:bCs/>
          <w:kern w:val="36"/>
          <w:sz w:val="20"/>
          <w:szCs w:val="20"/>
          <w:lang w:val="es-ES" w:eastAsia="es-ES"/>
        </w:rPr>
        <w:t xml:space="preserve">aún no han </w:t>
      </w:r>
      <w:r>
        <w:rPr>
          <w:rFonts w:ascii="Georgia" w:eastAsia="Times New Roman" w:hAnsi="Georgia" w:cs="Arial"/>
          <w:b/>
          <w:bCs/>
          <w:kern w:val="36"/>
          <w:sz w:val="20"/>
          <w:szCs w:val="20"/>
          <w:lang w:val="es-ES" w:eastAsia="es-ES"/>
        </w:rPr>
        <w:t>tramitado un ERTE ETOP</w:t>
      </w:r>
      <w:r>
        <w:rPr>
          <w:rFonts w:ascii="Georgia" w:eastAsia="Times New Roman" w:hAnsi="Georgia" w:cs="Arial"/>
          <w:b/>
          <w:bCs/>
          <w:kern w:val="36"/>
          <w:sz w:val="20"/>
          <w:szCs w:val="20"/>
          <w:lang w:val="es-ES" w:eastAsia="es-ES"/>
        </w:rPr>
        <w:t xml:space="preserve">, </w:t>
      </w:r>
      <w:r>
        <w:rPr>
          <w:rFonts w:ascii="Georgia" w:eastAsia="Times New Roman" w:hAnsi="Georgia" w:cs="Arial"/>
          <w:b/>
          <w:bCs/>
          <w:kern w:val="36"/>
          <w:sz w:val="20"/>
          <w:szCs w:val="20"/>
          <w:lang w:val="es-ES" w:eastAsia="es-ES"/>
        </w:rPr>
        <w:t>¿qué alternativas les ofrece el RDL?</w:t>
      </w:r>
    </w:p>
    <w:p w14:paraId="0E732C23" w14:textId="7370E472" w:rsidR="00F0643F" w:rsidRDefault="00F0643F" w:rsidP="00F0643F">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4CF8F049" w14:textId="54AE74E5" w:rsidR="00F0643F" w:rsidRPr="00F0643F" w:rsidRDefault="00F0643F" w:rsidP="00F0643F">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 xml:space="preserve">En general, convendría empezar a tramitar el ERTE ETOP (al que seguiría aplicando el trámite especial del ERTE ETOP </w:t>
      </w:r>
      <w:proofErr w:type="spellStart"/>
      <w:r>
        <w:rPr>
          <w:rFonts w:ascii="Georgia" w:eastAsia="Times New Roman" w:hAnsi="Georgia" w:cs="Arial"/>
          <w:kern w:val="36"/>
          <w:sz w:val="20"/>
          <w:szCs w:val="20"/>
          <w:lang w:val="es-ES" w:eastAsia="es-ES"/>
        </w:rPr>
        <w:t>Covid</w:t>
      </w:r>
      <w:proofErr w:type="spellEnd"/>
      <w:r>
        <w:rPr>
          <w:rFonts w:ascii="Georgia" w:eastAsia="Times New Roman" w:hAnsi="Georgia" w:cs="Arial"/>
          <w:kern w:val="36"/>
          <w:sz w:val="20"/>
          <w:szCs w:val="20"/>
          <w:lang w:val="es-ES" w:eastAsia="es-ES"/>
        </w:rPr>
        <w:t>), de forma que cuando ya lo tuviera listo, presentara renuncia al ERTE FM y comenzara el ERTE ETOP.</w:t>
      </w:r>
    </w:p>
    <w:p w14:paraId="446EB84F" w14:textId="66A17967" w:rsidR="00F0643F" w:rsidRDefault="00F0643F" w:rsidP="00F0643F">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733A387E" w14:textId="62C43CAA" w:rsidR="00F0643F" w:rsidRDefault="00F0643F" w:rsidP="00F0643F">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r>
        <w:rPr>
          <w:rFonts w:ascii="Georgia" w:eastAsia="Times New Roman" w:hAnsi="Georgia" w:cs="Arial"/>
          <w:b/>
          <w:bCs/>
          <w:kern w:val="36"/>
          <w:sz w:val="20"/>
          <w:szCs w:val="20"/>
          <w:lang w:val="es-ES" w:eastAsia="es-ES"/>
        </w:rPr>
        <w:t xml:space="preserve">En el caso de concesionarios que </w:t>
      </w:r>
      <w:r>
        <w:rPr>
          <w:rFonts w:ascii="Georgia" w:eastAsia="Times New Roman" w:hAnsi="Georgia" w:cs="Arial"/>
          <w:b/>
          <w:bCs/>
          <w:kern w:val="36"/>
          <w:sz w:val="20"/>
          <w:szCs w:val="20"/>
          <w:lang w:val="es-ES" w:eastAsia="es-ES"/>
        </w:rPr>
        <w:t>ya empezaron a aplicar el ERTE ETOP (habiendo renunciado al ERTE FM)</w:t>
      </w:r>
      <w:r w:rsidR="005D574D">
        <w:rPr>
          <w:rFonts w:ascii="Georgia" w:eastAsia="Times New Roman" w:hAnsi="Georgia" w:cs="Arial"/>
          <w:b/>
          <w:bCs/>
          <w:kern w:val="36"/>
          <w:sz w:val="20"/>
          <w:szCs w:val="20"/>
          <w:lang w:val="es-ES" w:eastAsia="es-ES"/>
        </w:rPr>
        <w:t>, ¿deben hacer alguna formalidad específica ante el SEPE?</w:t>
      </w:r>
    </w:p>
    <w:p w14:paraId="2B491782" w14:textId="2E17ADD2" w:rsidR="005D574D" w:rsidRDefault="005D574D" w:rsidP="005D574D">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5D7411BA" w14:textId="78F555E1" w:rsidR="005D574D" w:rsidRDefault="005D574D" w:rsidP="005D574D">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sidRPr="005D574D">
        <w:rPr>
          <w:rFonts w:ascii="Georgia" w:eastAsia="Times New Roman" w:hAnsi="Georgia" w:cs="Arial"/>
          <w:kern w:val="36"/>
          <w:sz w:val="20"/>
          <w:szCs w:val="20"/>
          <w:lang w:val="es-ES" w:eastAsia="es-ES"/>
        </w:rPr>
        <w:t xml:space="preserve">Deben presentar </w:t>
      </w:r>
      <w:r>
        <w:rPr>
          <w:rFonts w:ascii="Georgia" w:eastAsia="Times New Roman" w:hAnsi="Georgia" w:cs="Arial"/>
          <w:kern w:val="36"/>
          <w:sz w:val="20"/>
          <w:szCs w:val="20"/>
          <w:lang w:val="es-ES" w:eastAsia="es-ES"/>
        </w:rPr>
        <w:t xml:space="preserve">nueva </w:t>
      </w:r>
      <w:r w:rsidRPr="005D574D">
        <w:rPr>
          <w:rFonts w:ascii="Georgia" w:eastAsia="Times New Roman" w:hAnsi="Georgia" w:cs="Arial"/>
          <w:kern w:val="36"/>
          <w:sz w:val="20"/>
          <w:szCs w:val="20"/>
          <w:lang w:val="es-ES" w:eastAsia="es-ES"/>
        </w:rPr>
        <w:t>solicitud colectiva de desempleo</w:t>
      </w:r>
      <w:r>
        <w:rPr>
          <w:rFonts w:ascii="Georgia" w:eastAsia="Times New Roman" w:hAnsi="Georgia" w:cs="Arial"/>
          <w:kern w:val="36"/>
          <w:sz w:val="20"/>
          <w:szCs w:val="20"/>
          <w:lang w:val="es-ES" w:eastAsia="es-ES"/>
        </w:rPr>
        <w:t xml:space="preserve"> antes del 19 de octubre</w:t>
      </w:r>
      <w:r w:rsidRPr="005D574D">
        <w:rPr>
          <w:rFonts w:ascii="Georgia" w:eastAsia="Times New Roman" w:hAnsi="Georgia" w:cs="Arial"/>
          <w:kern w:val="36"/>
          <w:sz w:val="20"/>
          <w:szCs w:val="20"/>
          <w:lang w:val="es-ES" w:eastAsia="es-ES"/>
        </w:rPr>
        <w:t>.</w:t>
      </w:r>
    </w:p>
    <w:p w14:paraId="76EC92DF" w14:textId="6D094FE6" w:rsidR="00C701D5" w:rsidRDefault="00C701D5" w:rsidP="005D574D">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p>
    <w:p w14:paraId="02C23E6B" w14:textId="70E1341C" w:rsidR="00DB32D9" w:rsidRDefault="00C701D5" w:rsidP="00C701D5">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r>
        <w:rPr>
          <w:rFonts w:ascii="Georgia" w:eastAsia="Times New Roman" w:hAnsi="Georgia" w:cs="Arial"/>
          <w:b/>
          <w:bCs/>
          <w:kern w:val="36"/>
          <w:sz w:val="20"/>
          <w:szCs w:val="20"/>
          <w:lang w:val="es-ES" w:eastAsia="es-ES"/>
        </w:rPr>
        <w:t xml:space="preserve">En el caso de concesionarios que ya </w:t>
      </w:r>
      <w:r w:rsidR="00DB32D9">
        <w:rPr>
          <w:rFonts w:ascii="Georgia" w:eastAsia="Times New Roman" w:hAnsi="Georgia" w:cs="Arial"/>
          <w:b/>
          <w:bCs/>
          <w:kern w:val="36"/>
          <w:sz w:val="20"/>
          <w:szCs w:val="20"/>
          <w:lang w:val="es-ES" w:eastAsia="es-ES"/>
        </w:rPr>
        <w:t>están al 100% de su actividad y prevén continuidad en ese sentido?</w:t>
      </w:r>
    </w:p>
    <w:p w14:paraId="0A98FA95" w14:textId="47BC99BC" w:rsidR="00DB32D9" w:rsidRDefault="00DB32D9" w:rsidP="00DB32D9">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2962AE9E" w14:textId="074BE0D5" w:rsidR="00AC574B" w:rsidRDefault="00AC574B" w:rsidP="00DB32D9">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Es posible renunciar con la fecha de efectos que se solicite tanto al ERTE FM como al ERTE ETOP.</w:t>
      </w:r>
    </w:p>
    <w:p w14:paraId="04FCF09F" w14:textId="77777777" w:rsidR="00AC574B" w:rsidRPr="00AC574B" w:rsidRDefault="00AC574B" w:rsidP="00DB32D9">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p>
    <w:p w14:paraId="6369EA9D" w14:textId="09E34773" w:rsidR="006E5C7A" w:rsidRPr="00867DAA" w:rsidRDefault="006E5C7A" w:rsidP="00003362">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r w:rsidRPr="00867DAA">
        <w:rPr>
          <w:rFonts w:ascii="Georgia" w:eastAsia="Times New Roman" w:hAnsi="Georgia" w:cs="Arial"/>
          <w:b/>
          <w:bCs/>
          <w:kern w:val="36"/>
          <w:sz w:val="20"/>
          <w:szCs w:val="20"/>
          <w:lang w:val="es-ES" w:eastAsia="es-ES"/>
        </w:rPr>
        <w:t xml:space="preserve">¿Qué restricciones deben </w:t>
      </w:r>
      <w:r w:rsidR="00C701D5">
        <w:rPr>
          <w:rFonts w:ascii="Georgia" w:eastAsia="Times New Roman" w:hAnsi="Georgia" w:cs="Arial"/>
          <w:b/>
          <w:bCs/>
          <w:kern w:val="36"/>
          <w:sz w:val="20"/>
          <w:szCs w:val="20"/>
          <w:lang w:val="es-ES" w:eastAsia="es-ES"/>
        </w:rPr>
        <w:t xml:space="preserve">seguir teniendo </w:t>
      </w:r>
      <w:r w:rsidRPr="00867DAA">
        <w:rPr>
          <w:rFonts w:ascii="Georgia" w:eastAsia="Times New Roman" w:hAnsi="Georgia" w:cs="Arial"/>
          <w:b/>
          <w:bCs/>
          <w:kern w:val="36"/>
          <w:sz w:val="20"/>
          <w:szCs w:val="20"/>
          <w:lang w:val="es-ES" w:eastAsia="es-ES"/>
        </w:rPr>
        <w:t>en cuenta los concesionarios</w:t>
      </w:r>
      <w:r w:rsidR="00C701D5">
        <w:rPr>
          <w:rFonts w:ascii="Georgia" w:eastAsia="Times New Roman" w:hAnsi="Georgia" w:cs="Arial"/>
          <w:b/>
          <w:bCs/>
          <w:kern w:val="36"/>
          <w:sz w:val="20"/>
          <w:szCs w:val="20"/>
          <w:lang w:val="es-ES" w:eastAsia="es-ES"/>
        </w:rPr>
        <w:t xml:space="preserve"> que sigan aplicando ERTE</w:t>
      </w:r>
      <w:r w:rsidRPr="00867DAA">
        <w:rPr>
          <w:rFonts w:ascii="Georgia" w:eastAsia="Times New Roman" w:hAnsi="Georgia" w:cs="Arial"/>
          <w:b/>
          <w:bCs/>
          <w:kern w:val="36"/>
          <w:sz w:val="20"/>
          <w:szCs w:val="20"/>
          <w:lang w:val="es-ES" w:eastAsia="es-ES"/>
        </w:rPr>
        <w:t>?</w:t>
      </w:r>
    </w:p>
    <w:p w14:paraId="715A802B" w14:textId="37F3EA7B" w:rsidR="006E5C7A" w:rsidRPr="00867DAA" w:rsidRDefault="006E5C7A" w:rsidP="006E5C7A">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7BFAF18D" w14:textId="639B9365" w:rsidR="007B7153" w:rsidRPr="00867DAA" w:rsidRDefault="005A5D0B" w:rsidP="00003362">
      <w:pPr>
        <w:pStyle w:val="ListParagraph"/>
        <w:numPr>
          <w:ilvl w:val="0"/>
          <w:numId w:val="2"/>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lastRenderedPageBreak/>
        <w:t xml:space="preserve">Continúan </w:t>
      </w:r>
      <w:r w:rsidR="007B7153" w:rsidRPr="00867DAA">
        <w:rPr>
          <w:rFonts w:ascii="Georgia" w:eastAsia="Times New Roman" w:hAnsi="Georgia" w:cs="Arial"/>
          <w:kern w:val="36"/>
          <w:sz w:val="20"/>
          <w:szCs w:val="20"/>
          <w:lang w:val="es-ES" w:eastAsia="es-ES"/>
        </w:rPr>
        <w:t>dos medidas que ya existían desde el principio: (i) la prohibición de extinguir contratos por causa del Covid-19 y (</w:t>
      </w:r>
      <w:proofErr w:type="spellStart"/>
      <w:r w:rsidR="007B7153" w:rsidRPr="00867DAA">
        <w:rPr>
          <w:rFonts w:ascii="Georgia" w:eastAsia="Times New Roman" w:hAnsi="Georgia" w:cs="Arial"/>
          <w:kern w:val="36"/>
          <w:sz w:val="20"/>
          <w:szCs w:val="20"/>
          <w:lang w:val="es-ES" w:eastAsia="es-ES"/>
        </w:rPr>
        <w:t>ii</w:t>
      </w:r>
      <w:proofErr w:type="spellEnd"/>
      <w:r w:rsidR="007B7153" w:rsidRPr="00867DAA">
        <w:rPr>
          <w:rFonts w:ascii="Georgia" w:eastAsia="Times New Roman" w:hAnsi="Georgia" w:cs="Arial"/>
          <w:kern w:val="36"/>
          <w:sz w:val="20"/>
          <w:szCs w:val="20"/>
          <w:lang w:val="es-ES" w:eastAsia="es-ES"/>
        </w:rPr>
        <w:t>) la interrupción de los contratos temporales suspendidos por ERTE.</w:t>
      </w:r>
    </w:p>
    <w:p w14:paraId="39E42FC2" w14:textId="77777777" w:rsidR="007B7153" w:rsidRPr="00867DAA" w:rsidRDefault="007B7153" w:rsidP="007B7153">
      <w:pPr>
        <w:pStyle w:val="ListParagraph"/>
        <w:shd w:val="clear" w:color="auto" w:fill="FFFFFF"/>
        <w:spacing w:after="150" w:line="360" w:lineRule="atLeast"/>
        <w:ind w:left="1440"/>
        <w:jc w:val="both"/>
        <w:textAlignment w:val="baseline"/>
        <w:outlineLvl w:val="0"/>
        <w:rPr>
          <w:rFonts w:ascii="Georgia" w:eastAsia="Times New Roman" w:hAnsi="Georgia" w:cs="Arial"/>
          <w:kern w:val="36"/>
          <w:sz w:val="20"/>
          <w:szCs w:val="20"/>
          <w:lang w:val="es-ES" w:eastAsia="es-ES"/>
        </w:rPr>
      </w:pPr>
    </w:p>
    <w:p w14:paraId="7420CBEF" w14:textId="6ACE0811" w:rsidR="007B7153" w:rsidRPr="00867DAA" w:rsidRDefault="007B7153" w:rsidP="00003362">
      <w:pPr>
        <w:pStyle w:val="ListParagraph"/>
        <w:numPr>
          <w:ilvl w:val="0"/>
          <w:numId w:val="2"/>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sidRPr="00867DAA">
        <w:rPr>
          <w:rFonts w:ascii="Georgia" w:eastAsia="Times New Roman" w:hAnsi="Georgia" w:cs="Arial"/>
          <w:kern w:val="36"/>
          <w:sz w:val="20"/>
          <w:szCs w:val="20"/>
          <w:lang w:val="es-ES" w:eastAsia="es-ES"/>
        </w:rPr>
        <w:t xml:space="preserve"> Se </w:t>
      </w:r>
      <w:r w:rsidR="00C701D5">
        <w:rPr>
          <w:rFonts w:ascii="Georgia" w:eastAsia="Times New Roman" w:hAnsi="Georgia" w:cs="Arial"/>
          <w:kern w:val="36"/>
          <w:sz w:val="20"/>
          <w:szCs w:val="20"/>
          <w:lang w:val="es-ES" w:eastAsia="es-ES"/>
        </w:rPr>
        <w:t xml:space="preserve">mantiene </w:t>
      </w:r>
      <w:r w:rsidR="00C701D5" w:rsidRPr="005A5D0B">
        <w:rPr>
          <w:rFonts w:ascii="Georgia" w:eastAsia="Times New Roman" w:hAnsi="Georgia" w:cs="Arial"/>
          <w:kern w:val="36"/>
          <w:sz w:val="20"/>
          <w:szCs w:val="20"/>
          <w:lang w:val="es-ES" w:eastAsia="es-ES"/>
        </w:rPr>
        <w:t xml:space="preserve">las </w:t>
      </w:r>
      <w:r w:rsidRPr="005A5D0B">
        <w:rPr>
          <w:rFonts w:ascii="Georgia" w:eastAsia="Times New Roman" w:hAnsi="Georgia" w:cs="Arial"/>
          <w:kern w:val="36"/>
          <w:sz w:val="20"/>
          <w:szCs w:val="20"/>
          <w:lang w:val="es-ES" w:eastAsia="es-ES"/>
        </w:rPr>
        <w:t>limitaciones</w:t>
      </w:r>
      <w:r w:rsidR="00C701D5" w:rsidRPr="005A5D0B">
        <w:rPr>
          <w:rFonts w:ascii="Georgia" w:eastAsia="Times New Roman" w:hAnsi="Georgia" w:cs="Arial"/>
          <w:kern w:val="36"/>
          <w:sz w:val="20"/>
          <w:szCs w:val="20"/>
          <w:lang w:val="es-ES" w:eastAsia="es-ES"/>
        </w:rPr>
        <w:t xml:space="preserve"> consistentes en</w:t>
      </w:r>
      <w:r w:rsidR="00C701D5">
        <w:rPr>
          <w:rFonts w:ascii="Georgia" w:eastAsia="Times New Roman" w:hAnsi="Georgia" w:cs="Arial"/>
          <w:kern w:val="36"/>
          <w:sz w:val="20"/>
          <w:szCs w:val="20"/>
          <w:lang w:val="es-ES" w:eastAsia="es-ES"/>
        </w:rPr>
        <w:t xml:space="preserve"> que</w:t>
      </w:r>
      <w:r w:rsidRPr="00867DAA">
        <w:rPr>
          <w:rFonts w:ascii="Georgia" w:eastAsia="Times New Roman" w:hAnsi="Georgia" w:cs="Arial"/>
          <w:kern w:val="36"/>
          <w:sz w:val="20"/>
          <w:szCs w:val="20"/>
          <w:lang w:val="es-ES" w:eastAsia="es-ES"/>
        </w:rPr>
        <w:t>:</w:t>
      </w:r>
      <w:r w:rsidR="006E5C7A" w:rsidRPr="00867DAA">
        <w:rPr>
          <w:rFonts w:ascii="Georgia" w:eastAsia="Times New Roman" w:hAnsi="Georgia" w:cs="Arial"/>
          <w:kern w:val="36"/>
          <w:sz w:val="20"/>
          <w:szCs w:val="20"/>
          <w:lang w:val="es-ES" w:eastAsia="es-ES"/>
        </w:rPr>
        <w:t xml:space="preserve"> </w:t>
      </w:r>
      <w:r w:rsidR="00C42DE0" w:rsidRPr="00867DAA">
        <w:rPr>
          <w:rFonts w:ascii="Georgia" w:eastAsia="Times New Roman" w:hAnsi="Georgia" w:cs="Arial"/>
          <w:kern w:val="36"/>
          <w:sz w:val="20"/>
          <w:szCs w:val="20"/>
          <w:lang w:val="es-ES" w:eastAsia="es-ES"/>
        </w:rPr>
        <w:t>durante la aplicación de los ERTE no puede</w:t>
      </w:r>
      <w:r w:rsidR="00BD4F83">
        <w:rPr>
          <w:rFonts w:ascii="Georgia" w:eastAsia="Times New Roman" w:hAnsi="Georgia" w:cs="Arial"/>
          <w:kern w:val="36"/>
          <w:sz w:val="20"/>
          <w:szCs w:val="20"/>
          <w:lang w:val="es-ES" w:eastAsia="es-ES"/>
        </w:rPr>
        <w:t>n</w:t>
      </w:r>
      <w:r w:rsidR="00C42DE0" w:rsidRPr="00867DAA">
        <w:rPr>
          <w:rFonts w:ascii="Georgia" w:eastAsia="Times New Roman" w:hAnsi="Georgia" w:cs="Arial"/>
          <w:kern w:val="36"/>
          <w:sz w:val="20"/>
          <w:szCs w:val="20"/>
          <w:lang w:val="es-ES" w:eastAsia="es-ES"/>
        </w:rPr>
        <w:t xml:space="preserve"> </w:t>
      </w:r>
      <w:r w:rsidR="006E5C7A" w:rsidRPr="00867DAA">
        <w:rPr>
          <w:rFonts w:ascii="Georgia" w:eastAsia="Times New Roman" w:hAnsi="Georgia" w:cs="Arial"/>
          <w:kern w:val="36"/>
          <w:sz w:val="20"/>
          <w:szCs w:val="20"/>
          <w:lang w:val="es-ES" w:eastAsia="es-ES"/>
        </w:rPr>
        <w:t>(i)  realizar</w:t>
      </w:r>
      <w:r w:rsidR="00C42DE0" w:rsidRPr="00867DAA">
        <w:rPr>
          <w:rFonts w:ascii="Georgia" w:eastAsia="Times New Roman" w:hAnsi="Georgia" w:cs="Arial"/>
          <w:kern w:val="36"/>
          <w:sz w:val="20"/>
          <w:szCs w:val="20"/>
          <w:lang w:val="es-ES" w:eastAsia="es-ES"/>
        </w:rPr>
        <w:t>se</w:t>
      </w:r>
      <w:r w:rsidR="006E5C7A" w:rsidRPr="00867DAA">
        <w:rPr>
          <w:rFonts w:ascii="Georgia" w:eastAsia="Times New Roman" w:hAnsi="Georgia" w:cs="Arial"/>
          <w:kern w:val="36"/>
          <w:sz w:val="20"/>
          <w:szCs w:val="20"/>
          <w:lang w:val="es-ES" w:eastAsia="es-ES"/>
        </w:rPr>
        <w:t xml:space="preserve"> horas extraordinarias, (</w:t>
      </w:r>
      <w:proofErr w:type="spellStart"/>
      <w:r w:rsidR="006E5C7A" w:rsidRPr="00867DAA">
        <w:rPr>
          <w:rFonts w:ascii="Georgia" w:eastAsia="Times New Roman" w:hAnsi="Georgia" w:cs="Arial"/>
          <w:kern w:val="36"/>
          <w:sz w:val="20"/>
          <w:szCs w:val="20"/>
          <w:lang w:val="es-ES" w:eastAsia="es-ES"/>
        </w:rPr>
        <w:t>ii</w:t>
      </w:r>
      <w:proofErr w:type="spellEnd"/>
      <w:r w:rsidR="006E5C7A" w:rsidRPr="00867DAA">
        <w:rPr>
          <w:rFonts w:ascii="Georgia" w:eastAsia="Times New Roman" w:hAnsi="Georgia" w:cs="Arial"/>
          <w:kern w:val="36"/>
          <w:sz w:val="20"/>
          <w:szCs w:val="20"/>
          <w:lang w:val="es-ES" w:eastAsia="es-ES"/>
        </w:rPr>
        <w:t xml:space="preserve">) </w:t>
      </w:r>
      <w:r w:rsidR="00C42DE0" w:rsidRPr="00867DAA">
        <w:rPr>
          <w:rFonts w:ascii="Georgia" w:eastAsia="Times New Roman" w:hAnsi="Georgia" w:cs="Arial"/>
          <w:kern w:val="36"/>
          <w:sz w:val="20"/>
          <w:szCs w:val="20"/>
          <w:lang w:val="es-ES" w:eastAsia="es-ES"/>
        </w:rPr>
        <w:t>establecerse o reanudarse externalizaciones de actividad, (</w:t>
      </w:r>
      <w:proofErr w:type="spellStart"/>
      <w:r w:rsidR="00C42DE0" w:rsidRPr="00867DAA">
        <w:rPr>
          <w:rFonts w:ascii="Georgia" w:eastAsia="Times New Roman" w:hAnsi="Georgia" w:cs="Arial"/>
          <w:kern w:val="36"/>
          <w:sz w:val="20"/>
          <w:szCs w:val="20"/>
          <w:lang w:val="es-ES" w:eastAsia="es-ES"/>
        </w:rPr>
        <w:t>iii</w:t>
      </w:r>
      <w:proofErr w:type="spellEnd"/>
      <w:r w:rsidR="00C42DE0" w:rsidRPr="00867DAA">
        <w:rPr>
          <w:rFonts w:ascii="Georgia" w:eastAsia="Times New Roman" w:hAnsi="Georgia" w:cs="Arial"/>
          <w:kern w:val="36"/>
          <w:sz w:val="20"/>
          <w:szCs w:val="20"/>
          <w:lang w:val="es-ES" w:eastAsia="es-ES"/>
        </w:rPr>
        <w:t xml:space="preserve">) concertarse nuevas contrataciones directas o a través de </w:t>
      </w:r>
      <w:proofErr w:type="spellStart"/>
      <w:r w:rsidR="00C42DE0" w:rsidRPr="00867DAA">
        <w:rPr>
          <w:rFonts w:ascii="Georgia" w:eastAsia="Times New Roman" w:hAnsi="Georgia" w:cs="Arial"/>
          <w:kern w:val="36"/>
          <w:sz w:val="20"/>
          <w:szCs w:val="20"/>
          <w:lang w:val="es-ES" w:eastAsia="es-ES"/>
        </w:rPr>
        <w:t>ETTs</w:t>
      </w:r>
      <w:proofErr w:type="spellEnd"/>
      <w:r w:rsidR="003935F7" w:rsidRPr="00867DAA">
        <w:rPr>
          <w:rFonts w:ascii="Georgia" w:eastAsia="Times New Roman" w:hAnsi="Georgia" w:cs="Arial"/>
          <w:kern w:val="36"/>
          <w:sz w:val="20"/>
          <w:szCs w:val="20"/>
          <w:lang w:val="es-ES" w:eastAsia="es-ES"/>
        </w:rPr>
        <w:t xml:space="preserve">. La excepción a la prohibición </w:t>
      </w:r>
      <w:r w:rsidR="00A44722" w:rsidRPr="00867DAA">
        <w:rPr>
          <w:rFonts w:ascii="Georgia" w:eastAsia="Times New Roman" w:hAnsi="Georgia" w:cs="Arial"/>
          <w:kern w:val="36"/>
          <w:sz w:val="20"/>
          <w:szCs w:val="20"/>
          <w:lang w:val="es-ES" w:eastAsia="es-ES"/>
        </w:rPr>
        <w:t xml:space="preserve">de externalizaciones o contrataciones es que sean en centro en el que los trabajadores afectados por el ERTE no </w:t>
      </w:r>
      <w:r w:rsidR="003935F7" w:rsidRPr="00867DAA">
        <w:rPr>
          <w:rFonts w:ascii="Georgia" w:eastAsia="Times New Roman" w:hAnsi="Georgia" w:cs="Arial"/>
          <w:kern w:val="36"/>
          <w:sz w:val="20"/>
          <w:szCs w:val="20"/>
          <w:lang w:val="es-ES" w:eastAsia="es-ES"/>
        </w:rPr>
        <w:t>pueden por razones objetivas y justificadas desarrollar esas funciones, previa comunicación de la empresa a los representantes de los trabajadores.</w:t>
      </w:r>
    </w:p>
    <w:p w14:paraId="7AB43B7A" w14:textId="77777777" w:rsidR="00B42172" w:rsidRPr="00867DAA" w:rsidRDefault="00B42172" w:rsidP="00B42172">
      <w:pPr>
        <w:pStyle w:val="ListParagraph"/>
        <w:rPr>
          <w:rFonts w:ascii="Georgia" w:eastAsia="Times New Roman" w:hAnsi="Georgia" w:cs="Arial"/>
          <w:kern w:val="36"/>
          <w:sz w:val="20"/>
          <w:szCs w:val="20"/>
          <w:lang w:val="es-ES" w:eastAsia="es-ES"/>
        </w:rPr>
      </w:pPr>
    </w:p>
    <w:p w14:paraId="1DD87B8D" w14:textId="267ED56A" w:rsidR="00F03788" w:rsidRPr="00867DAA" w:rsidRDefault="00F03788" w:rsidP="00003362">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sidRPr="00867DAA">
        <w:rPr>
          <w:rFonts w:ascii="Georgia" w:eastAsia="Times New Roman" w:hAnsi="Georgia" w:cs="Arial"/>
          <w:b/>
          <w:bCs/>
          <w:kern w:val="36"/>
          <w:sz w:val="20"/>
          <w:szCs w:val="20"/>
          <w:lang w:val="es-ES" w:eastAsia="es-ES"/>
        </w:rPr>
        <w:t xml:space="preserve">Respecto a la prestación de desempleo, ¿qué </w:t>
      </w:r>
      <w:r w:rsidR="00E44D0F">
        <w:rPr>
          <w:rFonts w:ascii="Georgia" w:eastAsia="Times New Roman" w:hAnsi="Georgia" w:cs="Arial"/>
          <w:b/>
          <w:bCs/>
          <w:kern w:val="36"/>
          <w:sz w:val="20"/>
          <w:szCs w:val="20"/>
          <w:lang w:val="es-ES" w:eastAsia="es-ES"/>
        </w:rPr>
        <w:t xml:space="preserve">cuestiones clave </w:t>
      </w:r>
      <w:r w:rsidRPr="00867DAA">
        <w:rPr>
          <w:rFonts w:ascii="Georgia" w:eastAsia="Times New Roman" w:hAnsi="Georgia" w:cs="Arial"/>
          <w:b/>
          <w:bCs/>
          <w:kern w:val="36"/>
          <w:sz w:val="20"/>
          <w:szCs w:val="20"/>
          <w:lang w:val="es-ES" w:eastAsia="es-ES"/>
        </w:rPr>
        <w:t>establece el nuevo RDL?</w:t>
      </w:r>
    </w:p>
    <w:p w14:paraId="521610E1" w14:textId="33926B05" w:rsidR="00F03788" w:rsidRPr="00867DAA" w:rsidRDefault="00F03788" w:rsidP="00F03788">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p>
    <w:p w14:paraId="13206C25" w14:textId="3CE8CCDE" w:rsidR="00F03788" w:rsidRDefault="00F03788" w:rsidP="00003362">
      <w:pPr>
        <w:pStyle w:val="ListParagraph"/>
        <w:numPr>
          <w:ilvl w:val="0"/>
          <w:numId w:val="5"/>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sidRPr="00867DAA">
        <w:rPr>
          <w:rFonts w:ascii="Georgia" w:eastAsia="Times New Roman" w:hAnsi="Georgia" w:cs="Arial"/>
          <w:kern w:val="36"/>
          <w:sz w:val="20"/>
          <w:szCs w:val="20"/>
          <w:lang w:val="es-ES" w:eastAsia="es-ES"/>
        </w:rPr>
        <w:t xml:space="preserve">Se mantienen hasta el 30 de septiembre </w:t>
      </w:r>
      <w:r w:rsidR="00696A50" w:rsidRPr="00867DAA">
        <w:rPr>
          <w:rFonts w:ascii="Georgia" w:eastAsia="Times New Roman" w:hAnsi="Georgia" w:cs="Arial"/>
          <w:kern w:val="36"/>
          <w:sz w:val="20"/>
          <w:szCs w:val="20"/>
          <w:lang w:val="es-ES" w:eastAsia="es-ES"/>
        </w:rPr>
        <w:t xml:space="preserve">para todos los tipos de ERTE indicados, anteriores o posteriores al nuevo RDL </w:t>
      </w:r>
      <w:r w:rsidRPr="00867DAA">
        <w:rPr>
          <w:rFonts w:ascii="Georgia" w:eastAsia="Times New Roman" w:hAnsi="Georgia" w:cs="Arial"/>
          <w:kern w:val="36"/>
          <w:sz w:val="20"/>
          <w:szCs w:val="20"/>
          <w:lang w:val="es-ES" w:eastAsia="es-ES"/>
        </w:rPr>
        <w:t>la ventaja para los trabajadores consistentes en derecho a prestación aunque no haya carencia</w:t>
      </w:r>
      <w:r w:rsidR="00E44D0F">
        <w:rPr>
          <w:rFonts w:ascii="Georgia" w:eastAsia="Times New Roman" w:hAnsi="Georgia" w:cs="Arial"/>
          <w:kern w:val="36"/>
          <w:sz w:val="20"/>
          <w:szCs w:val="20"/>
          <w:lang w:val="es-ES" w:eastAsia="es-ES"/>
        </w:rPr>
        <w:t>.</w:t>
      </w:r>
    </w:p>
    <w:p w14:paraId="4A0845CD" w14:textId="0B8B1059" w:rsidR="005A5D0B" w:rsidRDefault="005A5D0B" w:rsidP="00003362">
      <w:pPr>
        <w:pStyle w:val="ListParagraph"/>
        <w:numPr>
          <w:ilvl w:val="0"/>
          <w:numId w:val="5"/>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Se mantiene el 70% de la base reguladora hasta el 31 de enero de 2021.</w:t>
      </w:r>
    </w:p>
    <w:p w14:paraId="2D89C482" w14:textId="415F6CB5" w:rsidR="00E44D0F" w:rsidRDefault="00E44D0F" w:rsidP="00003362">
      <w:pPr>
        <w:pStyle w:val="ListParagraph"/>
        <w:numPr>
          <w:ilvl w:val="0"/>
          <w:numId w:val="5"/>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Se ha suprimido desde el 1 de octubre el llamado “contador a 0” pero los trabajadores afectados por ERTE que sean despedidos (salvo despido disciplinario procedente) o cuyo contrato temporal se extinga antes del 1 de enero de 2022</w:t>
      </w:r>
    </w:p>
    <w:p w14:paraId="07DAD630" w14:textId="65B39CC8" w:rsidR="00F03788" w:rsidRDefault="00F03788" w:rsidP="00003362">
      <w:pPr>
        <w:pStyle w:val="ListParagraph"/>
        <w:numPr>
          <w:ilvl w:val="0"/>
          <w:numId w:val="5"/>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sidRPr="00867DAA">
        <w:rPr>
          <w:rFonts w:ascii="Georgia" w:eastAsia="Times New Roman" w:hAnsi="Georgia" w:cs="Arial"/>
          <w:kern w:val="36"/>
          <w:sz w:val="20"/>
          <w:szCs w:val="20"/>
          <w:lang w:val="es-ES" w:eastAsia="es-ES"/>
        </w:rPr>
        <w:t xml:space="preserve">Se mantiene </w:t>
      </w:r>
      <w:r w:rsidR="00E44D0F">
        <w:rPr>
          <w:rFonts w:ascii="Georgia" w:eastAsia="Times New Roman" w:hAnsi="Georgia" w:cs="Arial"/>
          <w:kern w:val="36"/>
          <w:sz w:val="20"/>
          <w:szCs w:val="20"/>
          <w:lang w:val="es-ES" w:eastAsia="es-ES"/>
        </w:rPr>
        <w:t xml:space="preserve">como hemos anticipado en varias preguntas </w:t>
      </w:r>
      <w:r w:rsidRPr="00867DAA">
        <w:rPr>
          <w:rFonts w:ascii="Georgia" w:eastAsia="Times New Roman" w:hAnsi="Georgia" w:cs="Arial"/>
          <w:kern w:val="36"/>
          <w:sz w:val="20"/>
          <w:szCs w:val="20"/>
          <w:lang w:val="es-ES" w:eastAsia="es-ES"/>
        </w:rPr>
        <w:t>el régimen de solicitud colectiva</w:t>
      </w:r>
      <w:r w:rsidR="00E44D0F">
        <w:rPr>
          <w:rFonts w:ascii="Georgia" w:eastAsia="Times New Roman" w:hAnsi="Georgia" w:cs="Arial"/>
          <w:kern w:val="36"/>
          <w:sz w:val="20"/>
          <w:szCs w:val="20"/>
          <w:lang w:val="es-ES" w:eastAsia="es-ES"/>
        </w:rPr>
        <w:t xml:space="preserve"> por la empresa</w:t>
      </w:r>
      <w:r w:rsidR="00BD4F83">
        <w:rPr>
          <w:rFonts w:ascii="Georgia" w:eastAsia="Times New Roman" w:hAnsi="Georgia" w:cs="Arial"/>
          <w:kern w:val="36"/>
          <w:sz w:val="20"/>
          <w:szCs w:val="20"/>
          <w:lang w:val="es-ES" w:eastAsia="es-ES"/>
        </w:rPr>
        <w:t>.</w:t>
      </w:r>
    </w:p>
    <w:p w14:paraId="36928DC8" w14:textId="2F56056D" w:rsidR="005A5D0B" w:rsidRDefault="005A5D0B" w:rsidP="005A5D0B">
      <w:pPr>
        <w:pStyle w:val="ListParagraph"/>
        <w:shd w:val="clear" w:color="auto" w:fill="FFFFFF"/>
        <w:spacing w:after="150" w:line="360" w:lineRule="atLeast"/>
        <w:ind w:left="1440"/>
        <w:jc w:val="both"/>
        <w:textAlignment w:val="baseline"/>
        <w:outlineLvl w:val="0"/>
        <w:rPr>
          <w:rFonts w:ascii="Georgia" w:eastAsia="Times New Roman" w:hAnsi="Georgia" w:cs="Arial"/>
          <w:kern w:val="36"/>
          <w:sz w:val="20"/>
          <w:szCs w:val="20"/>
          <w:lang w:val="es-ES" w:eastAsia="es-ES"/>
        </w:rPr>
      </w:pPr>
    </w:p>
    <w:p w14:paraId="3159D572" w14:textId="509BFA1B" w:rsidR="005A5D0B" w:rsidRPr="005A5D0B" w:rsidRDefault="005A5D0B" w:rsidP="005A5D0B">
      <w:pPr>
        <w:pStyle w:val="ListParagraph"/>
        <w:numPr>
          <w:ilvl w:val="0"/>
          <w:numId w:val="1"/>
        </w:numPr>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b/>
          <w:bCs/>
          <w:kern w:val="36"/>
          <w:sz w:val="20"/>
          <w:szCs w:val="20"/>
          <w:lang w:val="es-ES" w:eastAsia="es-ES"/>
        </w:rPr>
        <w:t>Si a partir del 1 de octubre no puedo aplicar exenciones a la cotización, ¿sigue aplicándome el compromiso de mantenimiento de empleo de seis meses para</w:t>
      </w:r>
      <w:r w:rsidRPr="00867DAA">
        <w:rPr>
          <w:rFonts w:ascii="Georgia" w:eastAsia="Times New Roman" w:hAnsi="Georgia" w:cs="Arial"/>
          <w:b/>
          <w:bCs/>
          <w:kern w:val="36"/>
          <w:sz w:val="20"/>
          <w:szCs w:val="20"/>
          <w:lang w:val="es-ES" w:eastAsia="es-ES"/>
        </w:rPr>
        <w:t xml:space="preserve"> la prestación de desempleo</w:t>
      </w:r>
      <w:r>
        <w:rPr>
          <w:rFonts w:ascii="Georgia" w:eastAsia="Times New Roman" w:hAnsi="Georgia" w:cs="Arial"/>
          <w:b/>
          <w:bCs/>
          <w:kern w:val="36"/>
          <w:sz w:val="20"/>
          <w:szCs w:val="20"/>
          <w:lang w:val="es-ES" w:eastAsia="es-ES"/>
        </w:rPr>
        <w:t>?</w:t>
      </w:r>
    </w:p>
    <w:p w14:paraId="0AD6B28E" w14:textId="698CB5C5" w:rsidR="005A5D0B" w:rsidRDefault="005A5D0B" w:rsidP="005A5D0B">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p w14:paraId="56262BA5" w14:textId="5192FC1B" w:rsidR="005A5D0B" w:rsidRDefault="005A5D0B" w:rsidP="005A5D0B">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Sí, el concesionario sigue vinculado por el compromiso de mantenimiento de empleo de los trabajadores afectados por ERTE de seis meses por haberse beneficiado de bonificaciones por el ERTE FM y por el ERTE ETOP. El periodo empieza a computar desde que se empezó a reactivar personal (entendemos que en el primer ERTE).</w:t>
      </w:r>
    </w:p>
    <w:p w14:paraId="1FBBBE9F" w14:textId="008CA645" w:rsidR="005A5D0B" w:rsidRDefault="005A5D0B" w:rsidP="005A5D0B">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p>
    <w:p w14:paraId="2ED343A3" w14:textId="47DDB359" w:rsidR="005A5D0B" w:rsidRPr="005A5D0B" w:rsidRDefault="005A5D0B" w:rsidP="005A5D0B">
      <w:pPr>
        <w:pStyle w:val="ListParagraph"/>
        <w:shd w:val="clear" w:color="auto" w:fill="FFFFFF"/>
        <w:spacing w:after="150" w:line="360" w:lineRule="atLeast"/>
        <w:jc w:val="both"/>
        <w:textAlignment w:val="baseline"/>
        <w:outlineLvl w:val="0"/>
        <w:rPr>
          <w:rFonts w:ascii="Georgia" w:eastAsia="Times New Roman" w:hAnsi="Georgia" w:cs="Arial"/>
          <w:kern w:val="36"/>
          <w:sz w:val="20"/>
          <w:szCs w:val="20"/>
          <w:lang w:val="es-ES" w:eastAsia="es-ES"/>
        </w:rPr>
      </w:pPr>
      <w:r>
        <w:rPr>
          <w:rFonts w:ascii="Georgia" w:eastAsia="Times New Roman" w:hAnsi="Georgia" w:cs="Arial"/>
          <w:kern w:val="36"/>
          <w:sz w:val="20"/>
          <w:szCs w:val="20"/>
          <w:lang w:val="es-ES" w:eastAsia="es-ES"/>
        </w:rPr>
        <w:t xml:space="preserve">Si la empresa incumpliera el compromiso, el riesgo es de devolución de los importes exentos con recargo e intereses. La norma no deja claro si basta un solo despido para que haya que devolverlo </w:t>
      </w:r>
      <w:r>
        <w:rPr>
          <w:rFonts w:ascii="Georgia" w:eastAsia="Times New Roman" w:hAnsi="Georgia" w:cs="Arial"/>
          <w:kern w:val="36"/>
          <w:sz w:val="20"/>
          <w:szCs w:val="20"/>
          <w:lang w:val="es-ES" w:eastAsia="es-ES"/>
        </w:rPr>
        <w:lastRenderedPageBreak/>
        <w:t>el importe tota</w:t>
      </w:r>
      <w:r w:rsidR="00DA5A91">
        <w:rPr>
          <w:rFonts w:ascii="Georgia" w:eastAsia="Times New Roman" w:hAnsi="Georgia" w:cs="Arial"/>
          <w:kern w:val="36"/>
          <w:sz w:val="20"/>
          <w:szCs w:val="20"/>
          <w:lang w:val="es-ES" w:eastAsia="es-ES"/>
        </w:rPr>
        <w:t>l</w:t>
      </w:r>
      <w:bookmarkStart w:id="0" w:name="_GoBack"/>
      <w:bookmarkEnd w:id="0"/>
      <w:r>
        <w:rPr>
          <w:rFonts w:ascii="Georgia" w:eastAsia="Times New Roman" w:hAnsi="Georgia" w:cs="Arial"/>
          <w:kern w:val="36"/>
          <w:sz w:val="20"/>
          <w:szCs w:val="20"/>
          <w:lang w:val="es-ES" w:eastAsia="es-ES"/>
        </w:rPr>
        <w:t xml:space="preserve"> o sólo hay que devolver lo del trabajador afectado. FACONAUTO elevó consulta al Ministerio al respecto que sigue pendiente de resolución.</w:t>
      </w:r>
    </w:p>
    <w:p w14:paraId="121B0349" w14:textId="77777777" w:rsidR="005A5D0B" w:rsidRPr="00867DAA" w:rsidRDefault="005A5D0B" w:rsidP="005A5D0B">
      <w:pPr>
        <w:pStyle w:val="ListParagraph"/>
        <w:shd w:val="clear" w:color="auto" w:fill="FFFFFF"/>
        <w:spacing w:after="150" w:line="360" w:lineRule="atLeast"/>
        <w:ind w:left="1440"/>
        <w:jc w:val="both"/>
        <w:textAlignment w:val="baseline"/>
        <w:outlineLvl w:val="0"/>
        <w:rPr>
          <w:rFonts w:ascii="Georgia" w:eastAsia="Times New Roman" w:hAnsi="Georgia" w:cs="Arial"/>
          <w:kern w:val="36"/>
          <w:sz w:val="20"/>
          <w:szCs w:val="20"/>
          <w:lang w:val="es-ES" w:eastAsia="es-ES"/>
        </w:rPr>
      </w:pPr>
    </w:p>
    <w:p w14:paraId="30D03D0A" w14:textId="3FC28505" w:rsidR="00F03788" w:rsidRPr="00867DAA" w:rsidRDefault="00F03788" w:rsidP="00F03788">
      <w:pPr>
        <w:pStyle w:val="ListParagraph"/>
        <w:shd w:val="clear" w:color="auto" w:fill="FFFFFF"/>
        <w:spacing w:after="150" w:line="360" w:lineRule="atLeast"/>
        <w:jc w:val="both"/>
        <w:textAlignment w:val="baseline"/>
        <w:outlineLvl w:val="0"/>
        <w:rPr>
          <w:rFonts w:ascii="Georgia" w:eastAsia="Times New Roman" w:hAnsi="Georgia" w:cs="Arial"/>
          <w:b/>
          <w:bCs/>
          <w:kern w:val="36"/>
          <w:sz w:val="20"/>
          <w:szCs w:val="20"/>
          <w:lang w:val="es-ES" w:eastAsia="es-ES"/>
        </w:rPr>
      </w:pPr>
    </w:p>
    <w:sectPr w:rsidR="00F03788" w:rsidRPr="00867D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CF4C" w14:textId="77777777" w:rsidR="00F579C3" w:rsidRDefault="00F579C3" w:rsidP="00F47B5D">
      <w:pPr>
        <w:spacing w:after="0" w:line="240" w:lineRule="auto"/>
      </w:pPr>
      <w:r>
        <w:separator/>
      </w:r>
    </w:p>
  </w:endnote>
  <w:endnote w:type="continuationSeparator" w:id="0">
    <w:p w14:paraId="2DEED043" w14:textId="77777777" w:rsidR="00F579C3" w:rsidRDefault="00F579C3" w:rsidP="00F4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35BE" w14:textId="77777777" w:rsidR="001822FC" w:rsidRDefault="00182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705238"/>
      <w:docPartObj>
        <w:docPartGallery w:val="Page Numbers (Bottom of Page)"/>
        <w:docPartUnique/>
      </w:docPartObj>
    </w:sdtPr>
    <w:sdtEndPr/>
    <w:sdtContent>
      <w:p w14:paraId="741951D7" w14:textId="7786A4D3" w:rsidR="001822FC" w:rsidRDefault="001822FC">
        <w:pPr>
          <w:pStyle w:val="Footer"/>
          <w:jc w:val="center"/>
        </w:pPr>
        <w:r>
          <w:fldChar w:fldCharType="begin"/>
        </w:r>
        <w:r>
          <w:instrText>PAGE   \* MERGEFORMAT</w:instrText>
        </w:r>
        <w:r>
          <w:fldChar w:fldCharType="separate"/>
        </w:r>
        <w:r>
          <w:rPr>
            <w:lang w:val="es-ES"/>
          </w:rPr>
          <w:t>2</w:t>
        </w:r>
        <w:r>
          <w:fldChar w:fldCharType="end"/>
        </w:r>
      </w:p>
    </w:sdtContent>
  </w:sdt>
  <w:p w14:paraId="0E4C942E" w14:textId="77777777" w:rsidR="001822FC" w:rsidRDefault="001822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97990" w14:textId="77777777" w:rsidR="001822FC" w:rsidRDefault="00182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7F3A" w14:textId="77777777" w:rsidR="00F579C3" w:rsidRDefault="00F579C3" w:rsidP="00F47B5D">
      <w:pPr>
        <w:spacing w:after="0" w:line="240" w:lineRule="auto"/>
      </w:pPr>
      <w:r>
        <w:separator/>
      </w:r>
    </w:p>
  </w:footnote>
  <w:footnote w:type="continuationSeparator" w:id="0">
    <w:p w14:paraId="2B42034A" w14:textId="77777777" w:rsidR="00F579C3" w:rsidRDefault="00F579C3" w:rsidP="00F47B5D">
      <w:pPr>
        <w:spacing w:after="0" w:line="240" w:lineRule="auto"/>
      </w:pPr>
      <w:r>
        <w:continuationSeparator/>
      </w:r>
    </w:p>
  </w:footnote>
  <w:footnote w:id="1">
    <w:p w14:paraId="3A2C2B31" w14:textId="58B6FE30" w:rsidR="001822FC" w:rsidRPr="002D7F2A" w:rsidRDefault="001822FC" w:rsidP="002639C0">
      <w:pPr>
        <w:pStyle w:val="FootnoteText"/>
        <w:jc w:val="both"/>
        <w:rPr>
          <w:rFonts w:asciiTheme="majorHAnsi" w:hAnsiTheme="majorHAnsi"/>
          <w:sz w:val="18"/>
          <w:szCs w:val="18"/>
          <w:lang w:val="es-ES"/>
        </w:rPr>
      </w:pPr>
      <w:r w:rsidRPr="004A303D">
        <w:rPr>
          <w:rStyle w:val="FootnoteReference"/>
          <w:rFonts w:ascii="Georgia" w:hAnsi="Georgia"/>
          <w:sz w:val="18"/>
          <w:szCs w:val="18"/>
        </w:rPr>
        <w:footnoteRef/>
      </w:r>
      <w:r w:rsidRPr="004A303D">
        <w:rPr>
          <w:rFonts w:ascii="Georgia" w:hAnsi="Georgia"/>
          <w:sz w:val="18"/>
          <w:szCs w:val="18"/>
          <w:lang w:val="es-ES"/>
        </w:rPr>
        <w:t xml:space="preserve"> </w:t>
      </w:r>
      <w:r w:rsidR="002639C0" w:rsidRPr="002D7F2A">
        <w:rPr>
          <w:rFonts w:asciiTheme="majorHAnsi" w:hAnsiTheme="majorHAnsi"/>
          <w:sz w:val="18"/>
          <w:szCs w:val="18"/>
          <w:lang w:val="es-ES"/>
        </w:rPr>
        <w:t>ER</w:t>
      </w:r>
      <w:r w:rsidR="00C565C5" w:rsidRPr="002D7F2A">
        <w:rPr>
          <w:rFonts w:asciiTheme="majorHAnsi" w:hAnsiTheme="majorHAnsi"/>
          <w:sz w:val="18"/>
          <w:szCs w:val="18"/>
          <w:lang w:val="es-ES"/>
        </w:rPr>
        <w:t>T</w:t>
      </w:r>
      <w:r w:rsidR="002639C0" w:rsidRPr="002D7F2A">
        <w:rPr>
          <w:rFonts w:asciiTheme="majorHAnsi" w:hAnsiTheme="majorHAnsi"/>
          <w:sz w:val="18"/>
          <w:szCs w:val="18"/>
          <w:lang w:val="es-ES"/>
        </w:rPr>
        <w:t xml:space="preserve">E FM significa ERTE Fuerza Mayor y ERTE ETOP significa </w:t>
      </w:r>
      <w:r w:rsidRPr="002D7F2A">
        <w:rPr>
          <w:rFonts w:asciiTheme="majorHAnsi" w:hAnsiTheme="majorHAnsi"/>
          <w:sz w:val="18"/>
          <w:szCs w:val="18"/>
          <w:lang w:val="es-ES"/>
        </w:rPr>
        <w:t xml:space="preserve">ERTE por causas económicas, técnicas, organizativas o de producción.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12C8" w14:textId="77777777" w:rsidR="001822FC" w:rsidRDefault="00182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6B3F" w14:textId="77777777" w:rsidR="001822FC" w:rsidRDefault="00182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595C" w14:textId="77777777" w:rsidR="001822FC" w:rsidRDefault="0018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20B"/>
    <w:multiLevelType w:val="hybridMultilevel"/>
    <w:tmpl w:val="14DA656E"/>
    <w:lvl w:ilvl="0" w:tplc="EFA4F288">
      <w:start w:val="30"/>
      <w:numFmt w:val="bullet"/>
      <w:lvlText w:val="-"/>
      <w:lvlJc w:val="left"/>
      <w:pPr>
        <w:ind w:left="1800" w:hanging="360"/>
      </w:pPr>
      <w:rPr>
        <w:rFonts w:ascii="Georgia" w:eastAsia="Times New Roman" w:hAnsi="Georgia"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15B56510"/>
    <w:multiLevelType w:val="hybridMultilevel"/>
    <w:tmpl w:val="DF6250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68F0DEB"/>
    <w:multiLevelType w:val="hybridMultilevel"/>
    <w:tmpl w:val="5F5CA13E"/>
    <w:lvl w:ilvl="0" w:tplc="0C0A0011">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1855DB"/>
    <w:multiLevelType w:val="hybridMultilevel"/>
    <w:tmpl w:val="170A52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1F146D9"/>
    <w:multiLevelType w:val="hybridMultilevel"/>
    <w:tmpl w:val="46FEED9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23B041BF"/>
    <w:multiLevelType w:val="hybridMultilevel"/>
    <w:tmpl w:val="12DE3A5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6D3227D"/>
    <w:multiLevelType w:val="hybridMultilevel"/>
    <w:tmpl w:val="508683AE"/>
    <w:lvl w:ilvl="0" w:tplc="69988D82">
      <w:start w:val="30"/>
      <w:numFmt w:val="bullet"/>
      <w:lvlText w:val="-"/>
      <w:lvlJc w:val="left"/>
      <w:pPr>
        <w:ind w:left="1080" w:hanging="360"/>
      </w:pPr>
      <w:rPr>
        <w:rFonts w:ascii="Georgia" w:eastAsia="Times New Roman" w:hAnsi="Georgi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3448690A"/>
    <w:multiLevelType w:val="hybridMultilevel"/>
    <w:tmpl w:val="EE306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120534"/>
    <w:multiLevelType w:val="hybridMultilevel"/>
    <w:tmpl w:val="7F742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3D1C3F"/>
    <w:multiLevelType w:val="hybridMultilevel"/>
    <w:tmpl w:val="BD9240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4C60A90"/>
    <w:multiLevelType w:val="hybridMultilevel"/>
    <w:tmpl w:val="F160B16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4BE217A"/>
    <w:multiLevelType w:val="hybridMultilevel"/>
    <w:tmpl w:val="F8022092"/>
    <w:lvl w:ilvl="0" w:tplc="FD345170">
      <w:start w:val="1"/>
      <w:numFmt w:val="lowerLetter"/>
      <w:lvlText w:val="%1)"/>
      <w:lvlJc w:val="left"/>
      <w:pPr>
        <w:tabs>
          <w:tab w:val="num" w:pos="1080"/>
        </w:tabs>
        <w:ind w:left="1080" w:hanging="360"/>
      </w:pPr>
    </w:lvl>
    <w:lvl w:ilvl="1" w:tplc="BD16783C" w:tentative="1">
      <w:start w:val="1"/>
      <w:numFmt w:val="lowerLetter"/>
      <w:lvlText w:val="%2)"/>
      <w:lvlJc w:val="left"/>
      <w:pPr>
        <w:tabs>
          <w:tab w:val="num" w:pos="1800"/>
        </w:tabs>
        <w:ind w:left="1800" w:hanging="360"/>
      </w:pPr>
    </w:lvl>
    <w:lvl w:ilvl="2" w:tplc="25ACA666" w:tentative="1">
      <w:start w:val="1"/>
      <w:numFmt w:val="lowerLetter"/>
      <w:lvlText w:val="%3)"/>
      <w:lvlJc w:val="left"/>
      <w:pPr>
        <w:tabs>
          <w:tab w:val="num" w:pos="2520"/>
        </w:tabs>
        <w:ind w:left="2520" w:hanging="360"/>
      </w:pPr>
    </w:lvl>
    <w:lvl w:ilvl="3" w:tplc="00C2666C" w:tentative="1">
      <w:start w:val="1"/>
      <w:numFmt w:val="lowerLetter"/>
      <w:lvlText w:val="%4)"/>
      <w:lvlJc w:val="left"/>
      <w:pPr>
        <w:tabs>
          <w:tab w:val="num" w:pos="3240"/>
        </w:tabs>
        <w:ind w:left="3240" w:hanging="360"/>
      </w:pPr>
    </w:lvl>
    <w:lvl w:ilvl="4" w:tplc="D2A476C6" w:tentative="1">
      <w:start w:val="1"/>
      <w:numFmt w:val="lowerLetter"/>
      <w:lvlText w:val="%5)"/>
      <w:lvlJc w:val="left"/>
      <w:pPr>
        <w:tabs>
          <w:tab w:val="num" w:pos="3960"/>
        </w:tabs>
        <w:ind w:left="3960" w:hanging="360"/>
      </w:pPr>
    </w:lvl>
    <w:lvl w:ilvl="5" w:tplc="21B0CDD4" w:tentative="1">
      <w:start w:val="1"/>
      <w:numFmt w:val="lowerLetter"/>
      <w:lvlText w:val="%6)"/>
      <w:lvlJc w:val="left"/>
      <w:pPr>
        <w:tabs>
          <w:tab w:val="num" w:pos="4680"/>
        </w:tabs>
        <w:ind w:left="4680" w:hanging="360"/>
      </w:pPr>
    </w:lvl>
    <w:lvl w:ilvl="6" w:tplc="DB96C954" w:tentative="1">
      <w:start w:val="1"/>
      <w:numFmt w:val="lowerLetter"/>
      <w:lvlText w:val="%7)"/>
      <w:lvlJc w:val="left"/>
      <w:pPr>
        <w:tabs>
          <w:tab w:val="num" w:pos="5400"/>
        </w:tabs>
        <w:ind w:left="5400" w:hanging="360"/>
      </w:pPr>
    </w:lvl>
    <w:lvl w:ilvl="7" w:tplc="2C54FA76" w:tentative="1">
      <w:start w:val="1"/>
      <w:numFmt w:val="lowerLetter"/>
      <w:lvlText w:val="%8)"/>
      <w:lvlJc w:val="left"/>
      <w:pPr>
        <w:tabs>
          <w:tab w:val="num" w:pos="6120"/>
        </w:tabs>
        <w:ind w:left="6120" w:hanging="360"/>
      </w:pPr>
    </w:lvl>
    <w:lvl w:ilvl="8" w:tplc="26F84A72" w:tentative="1">
      <w:start w:val="1"/>
      <w:numFmt w:val="lowerLetter"/>
      <w:lvlText w:val="%9)"/>
      <w:lvlJc w:val="left"/>
      <w:pPr>
        <w:tabs>
          <w:tab w:val="num" w:pos="6840"/>
        </w:tabs>
        <w:ind w:left="6840" w:hanging="360"/>
      </w:pPr>
    </w:lvl>
  </w:abstractNum>
  <w:abstractNum w:abstractNumId="12" w15:restartNumberingAfterBreak="0">
    <w:nsid w:val="64DB77B8"/>
    <w:multiLevelType w:val="hybridMultilevel"/>
    <w:tmpl w:val="5AF290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E6023DF"/>
    <w:multiLevelType w:val="hybridMultilevel"/>
    <w:tmpl w:val="4C7A5880"/>
    <w:lvl w:ilvl="0" w:tplc="9516E866">
      <w:start w:val="30"/>
      <w:numFmt w:val="bullet"/>
      <w:lvlText w:val="-"/>
      <w:lvlJc w:val="left"/>
      <w:pPr>
        <w:ind w:left="1800" w:hanging="360"/>
      </w:pPr>
      <w:rPr>
        <w:rFonts w:ascii="Georgia" w:eastAsia="Times New Roman" w:hAnsi="Georgia"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2"/>
  </w:num>
  <w:num w:numId="6">
    <w:abstractNumId w:val="8"/>
  </w:num>
  <w:num w:numId="7">
    <w:abstractNumId w:val="10"/>
  </w:num>
  <w:num w:numId="8">
    <w:abstractNumId w:val="7"/>
  </w:num>
  <w:num w:numId="9">
    <w:abstractNumId w:val="9"/>
  </w:num>
  <w:num w:numId="10">
    <w:abstractNumId w:val="5"/>
  </w:num>
  <w:num w:numId="11">
    <w:abstractNumId w:val="13"/>
  </w:num>
  <w:num w:numId="12">
    <w:abstractNumId w:val="4"/>
  </w:num>
  <w:num w:numId="13">
    <w:abstractNumId w:val="11"/>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85"/>
    <w:rsid w:val="00003362"/>
    <w:rsid w:val="00004831"/>
    <w:rsid w:val="00007359"/>
    <w:rsid w:val="00042A81"/>
    <w:rsid w:val="00043CBE"/>
    <w:rsid w:val="000602FA"/>
    <w:rsid w:val="00070086"/>
    <w:rsid w:val="00074A01"/>
    <w:rsid w:val="00080893"/>
    <w:rsid w:val="00080E34"/>
    <w:rsid w:val="00087B5D"/>
    <w:rsid w:val="000A4941"/>
    <w:rsid w:val="000B69A4"/>
    <w:rsid w:val="000B6B19"/>
    <w:rsid w:val="000C0BEA"/>
    <w:rsid w:val="000C2A42"/>
    <w:rsid w:val="000C4C24"/>
    <w:rsid w:val="000D1FEF"/>
    <w:rsid w:val="000D4A99"/>
    <w:rsid w:val="000D55E5"/>
    <w:rsid w:val="000E4231"/>
    <w:rsid w:val="000E6947"/>
    <w:rsid w:val="0010027D"/>
    <w:rsid w:val="0010233B"/>
    <w:rsid w:val="001038DE"/>
    <w:rsid w:val="00106928"/>
    <w:rsid w:val="00112E36"/>
    <w:rsid w:val="0011508A"/>
    <w:rsid w:val="00123BE7"/>
    <w:rsid w:val="0013493F"/>
    <w:rsid w:val="001371C2"/>
    <w:rsid w:val="00153230"/>
    <w:rsid w:val="00157288"/>
    <w:rsid w:val="00160078"/>
    <w:rsid w:val="0016413C"/>
    <w:rsid w:val="00166202"/>
    <w:rsid w:val="00177613"/>
    <w:rsid w:val="001822FC"/>
    <w:rsid w:val="0018584E"/>
    <w:rsid w:val="00186A85"/>
    <w:rsid w:val="00186D88"/>
    <w:rsid w:val="00193AD1"/>
    <w:rsid w:val="00196CAD"/>
    <w:rsid w:val="001B0ADF"/>
    <w:rsid w:val="001B107B"/>
    <w:rsid w:val="001B5376"/>
    <w:rsid w:val="001C1D03"/>
    <w:rsid w:val="001D420A"/>
    <w:rsid w:val="001D6740"/>
    <w:rsid w:val="001D7C33"/>
    <w:rsid w:val="001E1486"/>
    <w:rsid w:val="001E54AF"/>
    <w:rsid w:val="001E719A"/>
    <w:rsid w:val="001F188E"/>
    <w:rsid w:val="001F51BD"/>
    <w:rsid w:val="001F5BB8"/>
    <w:rsid w:val="0020248D"/>
    <w:rsid w:val="00202BE9"/>
    <w:rsid w:val="00212C75"/>
    <w:rsid w:val="00216EEE"/>
    <w:rsid w:val="002203BB"/>
    <w:rsid w:val="002216ED"/>
    <w:rsid w:val="002254D1"/>
    <w:rsid w:val="00227BE3"/>
    <w:rsid w:val="00232154"/>
    <w:rsid w:val="00241714"/>
    <w:rsid w:val="002458F8"/>
    <w:rsid w:val="0024632A"/>
    <w:rsid w:val="00246D13"/>
    <w:rsid w:val="00247436"/>
    <w:rsid w:val="002477A0"/>
    <w:rsid w:val="00257E11"/>
    <w:rsid w:val="002639C0"/>
    <w:rsid w:val="002670D3"/>
    <w:rsid w:val="00272516"/>
    <w:rsid w:val="0027720B"/>
    <w:rsid w:val="002846F2"/>
    <w:rsid w:val="00287B8C"/>
    <w:rsid w:val="00293A32"/>
    <w:rsid w:val="00294031"/>
    <w:rsid w:val="002A3EFF"/>
    <w:rsid w:val="002B217B"/>
    <w:rsid w:val="002B4878"/>
    <w:rsid w:val="002B5A5D"/>
    <w:rsid w:val="002B5BD6"/>
    <w:rsid w:val="002C7A4D"/>
    <w:rsid w:val="002D5091"/>
    <w:rsid w:val="002D5714"/>
    <w:rsid w:val="002D6145"/>
    <w:rsid w:val="002D77AF"/>
    <w:rsid w:val="002D7BB2"/>
    <w:rsid w:val="002D7F2A"/>
    <w:rsid w:val="002E0B2F"/>
    <w:rsid w:val="002E1D42"/>
    <w:rsid w:val="002E414A"/>
    <w:rsid w:val="002E6F57"/>
    <w:rsid w:val="00302170"/>
    <w:rsid w:val="003021D4"/>
    <w:rsid w:val="00302358"/>
    <w:rsid w:val="00305A94"/>
    <w:rsid w:val="00307CA3"/>
    <w:rsid w:val="00311605"/>
    <w:rsid w:val="0031485C"/>
    <w:rsid w:val="003160C9"/>
    <w:rsid w:val="00317C84"/>
    <w:rsid w:val="0032328B"/>
    <w:rsid w:val="003253E8"/>
    <w:rsid w:val="00326548"/>
    <w:rsid w:val="003311DB"/>
    <w:rsid w:val="003413D9"/>
    <w:rsid w:val="00341477"/>
    <w:rsid w:val="003437D6"/>
    <w:rsid w:val="00362974"/>
    <w:rsid w:val="00363850"/>
    <w:rsid w:val="00364472"/>
    <w:rsid w:val="00367D94"/>
    <w:rsid w:val="00370C3E"/>
    <w:rsid w:val="00373C49"/>
    <w:rsid w:val="0038460C"/>
    <w:rsid w:val="0038475A"/>
    <w:rsid w:val="00386812"/>
    <w:rsid w:val="0039291F"/>
    <w:rsid w:val="003935F7"/>
    <w:rsid w:val="003A03BB"/>
    <w:rsid w:val="003A28FA"/>
    <w:rsid w:val="003A29DA"/>
    <w:rsid w:val="003A776A"/>
    <w:rsid w:val="003B2F11"/>
    <w:rsid w:val="003B37D5"/>
    <w:rsid w:val="003B4484"/>
    <w:rsid w:val="003C1A1A"/>
    <w:rsid w:val="003C249A"/>
    <w:rsid w:val="003E06FE"/>
    <w:rsid w:val="003F0B9D"/>
    <w:rsid w:val="003F52C5"/>
    <w:rsid w:val="003F6E00"/>
    <w:rsid w:val="00401D5C"/>
    <w:rsid w:val="0040608E"/>
    <w:rsid w:val="004122F2"/>
    <w:rsid w:val="00412F86"/>
    <w:rsid w:val="00413A2D"/>
    <w:rsid w:val="00414282"/>
    <w:rsid w:val="004178CF"/>
    <w:rsid w:val="004207EB"/>
    <w:rsid w:val="004308F6"/>
    <w:rsid w:val="00441DBF"/>
    <w:rsid w:val="00443875"/>
    <w:rsid w:val="0044644E"/>
    <w:rsid w:val="00455874"/>
    <w:rsid w:val="004605E8"/>
    <w:rsid w:val="00462A7F"/>
    <w:rsid w:val="00465E7F"/>
    <w:rsid w:val="004822EF"/>
    <w:rsid w:val="00485B8F"/>
    <w:rsid w:val="00490130"/>
    <w:rsid w:val="00490962"/>
    <w:rsid w:val="00491E09"/>
    <w:rsid w:val="004A303D"/>
    <w:rsid w:val="004B083A"/>
    <w:rsid w:val="004B2D08"/>
    <w:rsid w:val="004B4259"/>
    <w:rsid w:val="004B5476"/>
    <w:rsid w:val="004B7473"/>
    <w:rsid w:val="004C0D6A"/>
    <w:rsid w:val="004C71B1"/>
    <w:rsid w:val="004D17BF"/>
    <w:rsid w:val="004D456B"/>
    <w:rsid w:val="004D5F5A"/>
    <w:rsid w:val="004E199B"/>
    <w:rsid w:val="004E27A4"/>
    <w:rsid w:val="004E3882"/>
    <w:rsid w:val="00505F26"/>
    <w:rsid w:val="00515676"/>
    <w:rsid w:val="00541970"/>
    <w:rsid w:val="0054280C"/>
    <w:rsid w:val="005466B2"/>
    <w:rsid w:val="00552EF2"/>
    <w:rsid w:val="0055498E"/>
    <w:rsid w:val="00554ED4"/>
    <w:rsid w:val="005639F6"/>
    <w:rsid w:val="005A5D0B"/>
    <w:rsid w:val="005A766D"/>
    <w:rsid w:val="005B1229"/>
    <w:rsid w:val="005C03EA"/>
    <w:rsid w:val="005C6E9D"/>
    <w:rsid w:val="005C7648"/>
    <w:rsid w:val="005D12E3"/>
    <w:rsid w:val="005D4060"/>
    <w:rsid w:val="005D574D"/>
    <w:rsid w:val="005E4832"/>
    <w:rsid w:val="005E53D2"/>
    <w:rsid w:val="005E63DD"/>
    <w:rsid w:val="005E6C8C"/>
    <w:rsid w:val="0060053D"/>
    <w:rsid w:val="00600E9C"/>
    <w:rsid w:val="006233C9"/>
    <w:rsid w:val="006259A7"/>
    <w:rsid w:val="0062665D"/>
    <w:rsid w:val="0063037C"/>
    <w:rsid w:val="00633194"/>
    <w:rsid w:val="00640D9D"/>
    <w:rsid w:val="00655167"/>
    <w:rsid w:val="0065797E"/>
    <w:rsid w:val="00657E8C"/>
    <w:rsid w:val="006610AA"/>
    <w:rsid w:val="006806FE"/>
    <w:rsid w:val="0068341F"/>
    <w:rsid w:val="00683445"/>
    <w:rsid w:val="00683D80"/>
    <w:rsid w:val="00685AE3"/>
    <w:rsid w:val="00685FEE"/>
    <w:rsid w:val="00687570"/>
    <w:rsid w:val="00693703"/>
    <w:rsid w:val="00696A50"/>
    <w:rsid w:val="006B348C"/>
    <w:rsid w:val="006B5E7E"/>
    <w:rsid w:val="006C613C"/>
    <w:rsid w:val="006D7C05"/>
    <w:rsid w:val="006E097B"/>
    <w:rsid w:val="006E5C7A"/>
    <w:rsid w:val="006F1289"/>
    <w:rsid w:val="006F3373"/>
    <w:rsid w:val="007040EC"/>
    <w:rsid w:val="00711772"/>
    <w:rsid w:val="00712D45"/>
    <w:rsid w:val="007220C5"/>
    <w:rsid w:val="0072268D"/>
    <w:rsid w:val="00723B51"/>
    <w:rsid w:val="00725D8E"/>
    <w:rsid w:val="00740D29"/>
    <w:rsid w:val="007413A7"/>
    <w:rsid w:val="00761D41"/>
    <w:rsid w:val="0076249F"/>
    <w:rsid w:val="00764390"/>
    <w:rsid w:val="00785360"/>
    <w:rsid w:val="00786BDA"/>
    <w:rsid w:val="0079627F"/>
    <w:rsid w:val="007A1555"/>
    <w:rsid w:val="007A242C"/>
    <w:rsid w:val="007A3F0E"/>
    <w:rsid w:val="007A5916"/>
    <w:rsid w:val="007B0545"/>
    <w:rsid w:val="007B05F2"/>
    <w:rsid w:val="007B12AA"/>
    <w:rsid w:val="007B151A"/>
    <w:rsid w:val="007B520B"/>
    <w:rsid w:val="007B7153"/>
    <w:rsid w:val="007C14FD"/>
    <w:rsid w:val="007C2304"/>
    <w:rsid w:val="007C3401"/>
    <w:rsid w:val="007D1FAB"/>
    <w:rsid w:val="007E051A"/>
    <w:rsid w:val="007E381B"/>
    <w:rsid w:val="007E53FE"/>
    <w:rsid w:val="007F23EF"/>
    <w:rsid w:val="007F32E3"/>
    <w:rsid w:val="0080566D"/>
    <w:rsid w:val="008109AC"/>
    <w:rsid w:val="00810F5B"/>
    <w:rsid w:val="00815BE4"/>
    <w:rsid w:val="00815ECD"/>
    <w:rsid w:val="00827405"/>
    <w:rsid w:val="00827901"/>
    <w:rsid w:val="008312BA"/>
    <w:rsid w:val="00831585"/>
    <w:rsid w:val="00831FD2"/>
    <w:rsid w:val="00842BE2"/>
    <w:rsid w:val="00847971"/>
    <w:rsid w:val="00850D98"/>
    <w:rsid w:val="00862509"/>
    <w:rsid w:val="00867DAA"/>
    <w:rsid w:val="00877841"/>
    <w:rsid w:val="008810EC"/>
    <w:rsid w:val="00896D9F"/>
    <w:rsid w:val="008A1042"/>
    <w:rsid w:val="008A5232"/>
    <w:rsid w:val="008A547A"/>
    <w:rsid w:val="008B2254"/>
    <w:rsid w:val="008C077E"/>
    <w:rsid w:val="008C6705"/>
    <w:rsid w:val="008C6FB6"/>
    <w:rsid w:val="008D1004"/>
    <w:rsid w:val="008D2DAD"/>
    <w:rsid w:val="008D37C1"/>
    <w:rsid w:val="008D5340"/>
    <w:rsid w:val="008D5C88"/>
    <w:rsid w:val="008D62F5"/>
    <w:rsid w:val="008D7846"/>
    <w:rsid w:val="008E16E1"/>
    <w:rsid w:val="008E6037"/>
    <w:rsid w:val="008E6131"/>
    <w:rsid w:val="008F032E"/>
    <w:rsid w:val="008F1747"/>
    <w:rsid w:val="008F27FF"/>
    <w:rsid w:val="008F4338"/>
    <w:rsid w:val="008F4600"/>
    <w:rsid w:val="00904608"/>
    <w:rsid w:val="00906A42"/>
    <w:rsid w:val="009156E2"/>
    <w:rsid w:val="0092473F"/>
    <w:rsid w:val="0092693E"/>
    <w:rsid w:val="0093247D"/>
    <w:rsid w:val="009344D9"/>
    <w:rsid w:val="009366AD"/>
    <w:rsid w:val="00950599"/>
    <w:rsid w:val="0096101A"/>
    <w:rsid w:val="00965FE4"/>
    <w:rsid w:val="00967424"/>
    <w:rsid w:val="00967596"/>
    <w:rsid w:val="00971AE5"/>
    <w:rsid w:val="0097421E"/>
    <w:rsid w:val="0097621E"/>
    <w:rsid w:val="009854D8"/>
    <w:rsid w:val="009928B4"/>
    <w:rsid w:val="00996BC4"/>
    <w:rsid w:val="009A2125"/>
    <w:rsid w:val="009A495F"/>
    <w:rsid w:val="009A5D50"/>
    <w:rsid w:val="009B4E6C"/>
    <w:rsid w:val="009B5E2E"/>
    <w:rsid w:val="009C2F66"/>
    <w:rsid w:val="009C3815"/>
    <w:rsid w:val="009C51CD"/>
    <w:rsid w:val="009C7C1E"/>
    <w:rsid w:val="009D032C"/>
    <w:rsid w:val="009D0363"/>
    <w:rsid w:val="009D386D"/>
    <w:rsid w:val="009D458A"/>
    <w:rsid w:val="009F34DB"/>
    <w:rsid w:val="009F4996"/>
    <w:rsid w:val="009F4BDF"/>
    <w:rsid w:val="00A10200"/>
    <w:rsid w:val="00A115C3"/>
    <w:rsid w:val="00A15174"/>
    <w:rsid w:val="00A17C1C"/>
    <w:rsid w:val="00A23532"/>
    <w:rsid w:val="00A25C1E"/>
    <w:rsid w:val="00A26965"/>
    <w:rsid w:val="00A33880"/>
    <w:rsid w:val="00A44722"/>
    <w:rsid w:val="00A536EC"/>
    <w:rsid w:val="00A60961"/>
    <w:rsid w:val="00A71612"/>
    <w:rsid w:val="00A75A03"/>
    <w:rsid w:val="00A81401"/>
    <w:rsid w:val="00A81CA0"/>
    <w:rsid w:val="00A92D30"/>
    <w:rsid w:val="00A9311C"/>
    <w:rsid w:val="00A93366"/>
    <w:rsid w:val="00AA216B"/>
    <w:rsid w:val="00AB5FF5"/>
    <w:rsid w:val="00AC3161"/>
    <w:rsid w:val="00AC54D7"/>
    <w:rsid w:val="00AC574B"/>
    <w:rsid w:val="00AC753D"/>
    <w:rsid w:val="00AD1DFA"/>
    <w:rsid w:val="00AD2B75"/>
    <w:rsid w:val="00AD67D8"/>
    <w:rsid w:val="00AE07AF"/>
    <w:rsid w:val="00AE5A3D"/>
    <w:rsid w:val="00AF537B"/>
    <w:rsid w:val="00AF7F09"/>
    <w:rsid w:val="00B04207"/>
    <w:rsid w:val="00B04E99"/>
    <w:rsid w:val="00B10E88"/>
    <w:rsid w:val="00B1340E"/>
    <w:rsid w:val="00B2019B"/>
    <w:rsid w:val="00B206BF"/>
    <w:rsid w:val="00B21838"/>
    <w:rsid w:val="00B2435E"/>
    <w:rsid w:val="00B275D1"/>
    <w:rsid w:val="00B31107"/>
    <w:rsid w:val="00B4085D"/>
    <w:rsid w:val="00B42172"/>
    <w:rsid w:val="00B53F02"/>
    <w:rsid w:val="00B543AF"/>
    <w:rsid w:val="00B578B7"/>
    <w:rsid w:val="00B609F2"/>
    <w:rsid w:val="00B6680B"/>
    <w:rsid w:val="00B676DD"/>
    <w:rsid w:val="00B7020C"/>
    <w:rsid w:val="00B76371"/>
    <w:rsid w:val="00B77526"/>
    <w:rsid w:val="00BA4106"/>
    <w:rsid w:val="00BA4379"/>
    <w:rsid w:val="00BA47E8"/>
    <w:rsid w:val="00BB010D"/>
    <w:rsid w:val="00BB190E"/>
    <w:rsid w:val="00BB1E66"/>
    <w:rsid w:val="00BB3056"/>
    <w:rsid w:val="00BC000D"/>
    <w:rsid w:val="00BC1B62"/>
    <w:rsid w:val="00BC363C"/>
    <w:rsid w:val="00BD0737"/>
    <w:rsid w:val="00BD3B47"/>
    <w:rsid w:val="00BD3EEF"/>
    <w:rsid w:val="00BD4F83"/>
    <w:rsid w:val="00BE023A"/>
    <w:rsid w:val="00BE23E8"/>
    <w:rsid w:val="00BE6205"/>
    <w:rsid w:val="00BF7F2D"/>
    <w:rsid w:val="00C0137C"/>
    <w:rsid w:val="00C10DEB"/>
    <w:rsid w:val="00C14140"/>
    <w:rsid w:val="00C15D2B"/>
    <w:rsid w:val="00C16E7B"/>
    <w:rsid w:val="00C2512B"/>
    <w:rsid w:val="00C272AB"/>
    <w:rsid w:val="00C403C0"/>
    <w:rsid w:val="00C42DE0"/>
    <w:rsid w:val="00C43112"/>
    <w:rsid w:val="00C4705F"/>
    <w:rsid w:val="00C50B8A"/>
    <w:rsid w:val="00C54479"/>
    <w:rsid w:val="00C565C5"/>
    <w:rsid w:val="00C61435"/>
    <w:rsid w:val="00C6689B"/>
    <w:rsid w:val="00C701D5"/>
    <w:rsid w:val="00C80148"/>
    <w:rsid w:val="00CA5E67"/>
    <w:rsid w:val="00CB08E5"/>
    <w:rsid w:val="00CB2F02"/>
    <w:rsid w:val="00CC629B"/>
    <w:rsid w:val="00CE05BF"/>
    <w:rsid w:val="00CE08BD"/>
    <w:rsid w:val="00CE0C00"/>
    <w:rsid w:val="00CF394D"/>
    <w:rsid w:val="00D06575"/>
    <w:rsid w:val="00D10291"/>
    <w:rsid w:val="00D11887"/>
    <w:rsid w:val="00D15F52"/>
    <w:rsid w:val="00D16E52"/>
    <w:rsid w:val="00D23D4C"/>
    <w:rsid w:val="00D26F92"/>
    <w:rsid w:val="00D27FF7"/>
    <w:rsid w:val="00D3409A"/>
    <w:rsid w:val="00D435B2"/>
    <w:rsid w:val="00D4378E"/>
    <w:rsid w:val="00D56E6D"/>
    <w:rsid w:val="00D57A1C"/>
    <w:rsid w:val="00D655F7"/>
    <w:rsid w:val="00D67341"/>
    <w:rsid w:val="00D7419F"/>
    <w:rsid w:val="00D831DE"/>
    <w:rsid w:val="00D90CAF"/>
    <w:rsid w:val="00D96E98"/>
    <w:rsid w:val="00DA2167"/>
    <w:rsid w:val="00DA477F"/>
    <w:rsid w:val="00DA5A91"/>
    <w:rsid w:val="00DB32D9"/>
    <w:rsid w:val="00DC11EC"/>
    <w:rsid w:val="00DC300F"/>
    <w:rsid w:val="00DC48A4"/>
    <w:rsid w:val="00DC6D89"/>
    <w:rsid w:val="00DD10BC"/>
    <w:rsid w:val="00DD206F"/>
    <w:rsid w:val="00DD4E94"/>
    <w:rsid w:val="00DF04D7"/>
    <w:rsid w:val="00DF1D00"/>
    <w:rsid w:val="00DF200A"/>
    <w:rsid w:val="00DF24D4"/>
    <w:rsid w:val="00E111C0"/>
    <w:rsid w:val="00E122D2"/>
    <w:rsid w:val="00E13FE7"/>
    <w:rsid w:val="00E17CD0"/>
    <w:rsid w:val="00E32F89"/>
    <w:rsid w:val="00E370F6"/>
    <w:rsid w:val="00E40C98"/>
    <w:rsid w:val="00E44D0F"/>
    <w:rsid w:val="00E45695"/>
    <w:rsid w:val="00E467C3"/>
    <w:rsid w:val="00E471FF"/>
    <w:rsid w:val="00E51A4A"/>
    <w:rsid w:val="00E54F5B"/>
    <w:rsid w:val="00E623C1"/>
    <w:rsid w:val="00E6316A"/>
    <w:rsid w:val="00E654E6"/>
    <w:rsid w:val="00E7056E"/>
    <w:rsid w:val="00E76154"/>
    <w:rsid w:val="00E83FED"/>
    <w:rsid w:val="00E92C8E"/>
    <w:rsid w:val="00EA1752"/>
    <w:rsid w:val="00EA6862"/>
    <w:rsid w:val="00EB0A82"/>
    <w:rsid w:val="00EB2435"/>
    <w:rsid w:val="00EB59C6"/>
    <w:rsid w:val="00EB7871"/>
    <w:rsid w:val="00EC301E"/>
    <w:rsid w:val="00EC31DB"/>
    <w:rsid w:val="00EC3EB0"/>
    <w:rsid w:val="00ED7946"/>
    <w:rsid w:val="00F004B2"/>
    <w:rsid w:val="00F03788"/>
    <w:rsid w:val="00F0643F"/>
    <w:rsid w:val="00F115A6"/>
    <w:rsid w:val="00F23062"/>
    <w:rsid w:val="00F320F1"/>
    <w:rsid w:val="00F3374A"/>
    <w:rsid w:val="00F352EB"/>
    <w:rsid w:val="00F40FB8"/>
    <w:rsid w:val="00F41B80"/>
    <w:rsid w:val="00F475EF"/>
    <w:rsid w:val="00F47B5D"/>
    <w:rsid w:val="00F5131E"/>
    <w:rsid w:val="00F54339"/>
    <w:rsid w:val="00F5452A"/>
    <w:rsid w:val="00F54EB7"/>
    <w:rsid w:val="00F579C3"/>
    <w:rsid w:val="00F72BE1"/>
    <w:rsid w:val="00F75731"/>
    <w:rsid w:val="00F84C99"/>
    <w:rsid w:val="00F91959"/>
    <w:rsid w:val="00F926A9"/>
    <w:rsid w:val="00F94B2E"/>
    <w:rsid w:val="00FA0FFF"/>
    <w:rsid w:val="00FA4F0D"/>
    <w:rsid w:val="00FA591B"/>
    <w:rsid w:val="00FA59AE"/>
    <w:rsid w:val="00FC424A"/>
    <w:rsid w:val="00FC745C"/>
    <w:rsid w:val="00FD1576"/>
    <w:rsid w:val="00FE1BF7"/>
    <w:rsid w:val="00FE2FC6"/>
    <w:rsid w:val="00FE3D0C"/>
    <w:rsid w:val="00FE5B53"/>
    <w:rsid w:val="00FF27AB"/>
    <w:rsid w:val="00FF2922"/>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15DF"/>
  <w15:chartTrackingRefBased/>
  <w15:docId w15:val="{8D951598-F92D-415C-A3EC-01ECC5DB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3D2"/>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5">
    <w:name w:val="heading 5"/>
    <w:basedOn w:val="Normal"/>
    <w:link w:val="Heading5Char"/>
    <w:uiPriority w:val="9"/>
    <w:qFormat/>
    <w:rsid w:val="005E53D2"/>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85"/>
    <w:pPr>
      <w:ind w:left="720"/>
      <w:contextualSpacing/>
    </w:pPr>
  </w:style>
  <w:style w:type="character" w:customStyle="1" w:styleId="Heading1Char">
    <w:name w:val="Heading 1 Char"/>
    <w:basedOn w:val="DefaultParagraphFont"/>
    <w:link w:val="Heading1"/>
    <w:uiPriority w:val="9"/>
    <w:rsid w:val="005E53D2"/>
    <w:rPr>
      <w:rFonts w:ascii="Times New Roman" w:eastAsia="Times New Roman" w:hAnsi="Times New Roman" w:cs="Times New Roman"/>
      <w:b/>
      <w:bCs/>
      <w:kern w:val="36"/>
      <w:sz w:val="48"/>
      <w:szCs w:val="48"/>
      <w:lang w:val="es-ES" w:eastAsia="es-ES"/>
    </w:rPr>
  </w:style>
  <w:style w:type="character" w:customStyle="1" w:styleId="Heading5Char">
    <w:name w:val="Heading 5 Char"/>
    <w:basedOn w:val="DefaultParagraphFont"/>
    <w:link w:val="Heading5"/>
    <w:uiPriority w:val="9"/>
    <w:rsid w:val="005E53D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5E53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5E53D2"/>
    <w:rPr>
      <w:b/>
      <w:bCs/>
    </w:rPr>
  </w:style>
  <w:style w:type="character" w:styleId="Hyperlink">
    <w:name w:val="Hyperlink"/>
    <w:basedOn w:val="DefaultParagraphFont"/>
    <w:uiPriority w:val="99"/>
    <w:semiHidden/>
    <w:unhideWhenUsed/>
    <w:rsid w:val="005E53D2"/>
    <w:rPr>
      <w:color w:val="0000FF"/>
      <w:u w:val="single"/>
    </w:rPr>
  </w:style>
  <w:style w:type="character" w:styleId="Emphasis">
    <w:name w:val="Emphasis"/>
    <w:basedOn w:val="DefaultParagraphFont"/>
    <w:uiPriority w:val="20"/>
    <w:qFormat/>
    <w:rsid w:val="005E53D2"/>
    <w:rPr>
      <w:i/>
      <w:iCs/>
    </w:rPr>
  </w:style>
  <w:style w:type="table" w:styleId="TableGrid">
    <w:name w:val="Table Grid"/>
    <w:basedOn w:val="TableNormal"/>
    <w:uiPriority w:val="39"/>
    <w:rsid w:val="00A1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7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B5D"/>
  </w:style>
  <w:style w:type="paragraph" w:styleId="Footer">
    <w:name w:val="footer"/>
    <w:basedOn w:val="Normal"/>
    <w:link w:val="FooterChar"/>
    <w:uiPriority w:val="99"/>
    <w:unhideWhenUsed/>
    <w:rsid w:val="00F47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B5D"/>
  </w:style>
  <w:style w:type="paragraph" w:styleId="BalloonText">
    <w:name w:val="Balloon Text"/>
    <w:basedOn w:val="Normal"/>
    <w:link w:val="BalloonTextChar"/>
    <w:uiPriority w:val="99"/>
    <w:semiHidden/>
    <w:unhideWhenUsed/>
    <w:rsid w:val="00741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A7"/>
    <w:rPr>
      <w:rFonts w:ascii="Segoe UI" w:hAnsi="Segoe UI" w:cs="Segoe UI"/>
      <w:sz w:val="18"/>
      <w:szCs w:val="18"/>
    </w:rPr>
  </w:style>
  <w:style w:type="paragraph" w:styleId="FootnoteText">
    <w:name w:val="footnote text"/>
    <w:basedOn w:val="Normal"/>
    <w:link w:val="FootnoteTextChar"/>
    <w:uiPriority w:val="99"/>
    <w:semiHidden/>
    <w:unhideWhenUsed/>
    <w:rsid w:val="004A30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03D"/>
    <w:rPr>
      <w:sz w:val="20"/>
      <w:szCs w:val="20"/>
    </w:rPr>
  </w:style>
  <w:style w:type="character" w:styleId="FootnoteReference">
    <w:name w:val="footnote reference"/>
    <w:basedOn w:val="DefaultParagraphFont"/>
    <w:uiPriority w:val="99"/>
    <w:semiHidden/>
    <w:unhideWhenUsed/>
    <w:rsid w:val="004A30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90173">
      <w:bodyDiv w:val="1"/>
      <w:marLeft w:val="0"/>
      <w:marRight w:val="0"/>
      <w:marTop w:val="0"/>
      <w:marBottom w:val="0"/>
      <w:divBdr>
        <w:top w:val="none" w:sz="0" w:space="0" w:color="auto"/>
        <w:left w:val="none" w:sz="0" w:space="0" w:color="auto"/>
        <w:bottom w:val="none" w:sz="0" w:space="0" w:color="auto"/>
        <w:right w:val="none" w:sz="0" w:space="0" w:color="auto"/>
      </w:divBdr>
    </w:div>
    <w:div w:id="590239039">
      <w:bodyDiv w:val="1"/>
      <w:marLeft w:val="0"/>
      <w:marRight w:val="0"/>
      <w:marTop w:val="0"/>
      <w:marBottom w:val="0"/>
      <w:divBdr>
        <w:top w:val="none" w:sz="0" w:space="0" w:color="auto"/>
        <w:left w:val="none" w:sz="0" w:space="0" w:color="auto"/>
        <w:bottom w:val="none" w:sz="0" w:space="0" w:color="auto"/>
        <w:right w:val="none" w:sz="0" w:space="0" w:color="auto"/>
      </w:divBdr>
    </w:div>
    <w:div w:id="761100475">
      <w:bodyDiv w:val="1"/>
      <w:marLeft w:val="0"/>
      <w:marRight w:val="0"/>
      <w:marTop w:val="0"/>
      <w:marBottom w:val="0"/>
      <w:divBdr>
        <w:top w:val="none" w:sz="0" w:space="0" w:color="auto"/>
        <w:left w:val="none" w:sz="0" w:space="0" w:color="auto"/>
        <w:bottom w:val="none" w:sz="0" w:space="0" w:color="auto"/>
        <w:right w:val="none" w:sz="0" w:space="0" w:color="auto"/>
      </w:divBdr>
    </w:div>
    <w:div w:id="910233952">
      <w:bodyDiv w:val="1"/>
      <w:marLeft w:val="0"/>
      <w:marRight w:val="0"/>
      <w:marTop w:val="0"/>
      <w:marBottom w:val="0"/>
      <w:divBdr>
        <w:top w:val="none" w:sz="0" w:space="0" w:color="auto"/>
        <w:left w:val="none" w:sz="0" w:space="0" w:color="auto"/>
        <w:bottom w:val="none" w:sz="0" w:space="0" w:color="auto"/>
        <w:right w:val="none" w:sz="0" w:space="0" w:color="auto"/>
      </w:divBdr>
    </w:div>
    <w:div w:id="1372614762">
      <w:bodyDiv w:val="1"/>
      <w:marLeft w:val="0"/>
      <w:marRight w:val="0"/>
      <w:marTop w:val="0"/>
      <w:marBottom w:val="0"/>
      <w:divBdr>
        <w:top w:val="none" w:sz="0" w:space="0" w:color="auto"/>
        <w:left w:val="none" w:sz="0" w:space="0" w:color="auto"/>
        <w:bottom w:val="none" w:sz="0" w:space="0" w:color="auto"/>
        <w:right w:val="none" w:sz="0" w:space="0" w:color="auto"/>
      </w:divBdr>
      <w:divsChild>
        <w:div w:id="1073235240">
          <w:marLeft w:val="0"/>
          <w:marRight w:val="0"/>
          <w:marTop w:val="0"/>
          <w:marBottom w:val="0"/>
          <w:divBdr>
            <w:top w:val="none" w:sz="0" w:space="0" w:color="auto"/>
            <w:left w:val="none" w:sz="0" w:space="0" w:color="auto"/>
            <w:bottom w:val="none" w:sz="0" w:space="0" w:color="auto"/>
            <w:right w:val="none" w:sz="0" w:space="0" w:color="auto"/>
          </w:divBdr>
        </w:div>
        <w:div w:id="966618594">
          <w:marLeft w:val="0"/>
          <w:marRight w:val="0"/>
          <w:marTop w:val="0"/>
          <w:marBottom w:val="0"/>
          <w:divBdr>
            <w:top w:val="none" w:sz="0" w:space="0" w:color="auto"/>
            <w:left w:val="none" w:sz="0" w:space="0" w:color="auto"/>
            <w:bottom w:val="none" w:sz="0" w:space="0" w:color="auto"/>
            <w:right w:val="none" w:sz="0" w:space="0" w:color="auto"/>
          </w:divBdr>
        </w:div>
        <w:div w:id="759642313">
          <w:marLeft w:val="0"/>
          <w:marRight w:val="0"/>
          <w:marTop w:val="0"/>
          <w:marBottom w:val="0"/>
          <w:divBdr>
            <w:top w:val="none" w:sz="0" w:space="0" w:color="auto"/>
            <w:left w:val="none" w:sz="0" w:space="0" w:color="auto"/>
            <w:bottom w:val="none" w:sz="0" w:space="0" w:color="auto"/>
            <w:right w:val="none" w:sz="0" w:space="0" w:color="auto"/>
          </w:divBdr>
        </w:div>
        <w:div w:id="508834832">
          <w:marLeft w:val="0"/>
          <w:marRight w:val="0"/>
          <w:marTop w:val="0"/>
          <w:marBottom w:val="0"/>
          <w:divBdr>
            <w:top w:val="none" w:sz="0" w:space="0" w:color="auto"/>
            <w:left w:val="none" w:sz="0" w:space="0" w:color="auto"/>
            <w:bottom w:val="none" w:sz="0" w:space="0" w:color="auto"/>
            <w:right w:val="none" w:sz="0" w:space="0" w:color="auto"/>
          </w:divBdr>
        </w:div>
        <w:div w:id="1552157818">
          <w:marLeft w:val="0"/>
          <w:marRight w:val="0"/>
          <w:marTop w:val="0"/>
          <w:marBottom w:val="0"/>
          <w:divBdr>
            <w:top w:val="none" w:sz="0" w:space="0" w:color="auto"/>
            <w:left w:val="none" w:sz="0" w:space="0" w:color="auto"/>
            <w:bottom w:val="none" w:sz="0" w:space="0" w:color="auto"/>
            <w:right w:val="none" w:sz="0" w:space="0" w:color="auto"/>
          </w:divBdr>
        </w:div>
        <w:div w:id="853494378">
          <w:marLeft w:val="0"/>
          <w:marRight w:val="0"/>
          <w:marTop w:val="0"/>
          <w:marBottom w:val="0"/>
          <w:divBdr>
            <w:top w:val="none" w:sz="0" w:space="0" w:color="auto"/>
            <w:left w:val="none" w:sz="0" w:space="0" w:color="auto"/>
            <w:bottom w:val="none" w:sz="0" w:space="0" w:color="auto"/>
            <w:right w:val="none" w:sz="0" w:space="0" w:color="auto"/>
          </w:divBdr>
        </w:div>
        <w:div w:id="1434126228">
          <w:marLeft w:val="0"/>
          <w:marRight w:val="0"/>
          <w:marTop w:val="0"/>
          <w:marBottom w:val="0"/>
          <w:divBdr>
            <w:top w:val="none" w:sz="0" w:space="0" w:color="auto"/>
            <w:left w:val="none" w:sz="0" w:space="0" w:color="auto"/>
            <w:bottom w:val="none" w:sz="0" w:space="0" w:color="auto"/>
            <w:right w:val="none" w:sz="0" w:space="0" w:color="auto"/>
          </w:divBdr>
        </w:div>
        <w:div w:id="928736509">
          <w:marLeft w:val="0"/>
          <w:marRight w:val="0"/>
          <w:marTop w:val="0"/>
          <w:marBottom w:val="0"/>
          <w:divBdr>
            <w:top w:val="none" w:sz="0" w:space="0" w:color="auto"/>
            <w:left w:val="none" w:sz="0" w:space="0" w:color="auto"/>
            <w:bottom w:val="none" w:sz="0" w:space="0" w:color="auto"/>
            <w:right w:val="none" w:sz="0" w:space="0" w:color="auto"/>
          </w:divBdr>
        </w:div>
        <w:div w:id="1405957034">
          <w:marLeft w:val="0"/>
          <w:marRight w:val="0"/>
          <w:marTop w:val="0"/>
          <w:marBottom w:val="0"/>
          <w:divBdr>
            <w:top w:val="none" w:sz="0" w:space="0" w:color="auto"/>
            <w:left w:val="none" w:sz="0" w:space="0" w:color="auto"/>
            <w:bottom w:val="none" w:sz="0" w:space="0" w:color="auto"/>
            <w:right w:val="none" w:sz="0" w:space="0" w:color="auto"/>
          </w:divBdr>
        </w:div>
        <w:div w:id="117065519">
          <w:marLeft w:val="0"/>
          <w:marRight w:val="0"/>
          <w:marTop w:val="0"/>
          <w:marBottom w:val="0"/>
          <w:divBdr>
            <w:top w:val="none" w:sz="0" w:space="0" w:color="auto"/>
            <w:left w:val="none" w:sz="0" w:space="0" w:color="auto"/>
            <w:bottom w:val="none" w:sz="0" w:space="0" w:color="auto"/>
            <w:right w:val="none" w:sz="0" w:space="0" w:color="auto"/>
          </w:divBdr>
        </w:div>
        <w:div w:id="1989167362">
          <w:marLeft w:val="0"/>
          <w:marRight w:val="0"/>
          <w:marTop w:val="0"/>
          <w:marBottom w:val="0"/>
          <w:divBdr>
            <w:top w:val="none" w:sz="0" w:space="0" w:color="auto"/>
            <w:left w:val="none" w:sz="0" w:space="0" w:color="auto"/>
            <w:bottom w:val="none" w:sz="0" w:space="0" w:color="auto"/>
            <w:right w:val="none" w:sz="0" w:space="0" w:color="auto"/>
          </w:divBdr>
        </w:div>
        <w:div w:id="1965841124">
          <w:marLeft w:val="0"/>
          <w:marRight w:val="0"/>
          <w:marTop w:val="0"/>
          <w:marBottom w:val="0"/>
          <w:divBdr>
            <w:top w:val="none" w:sz="0" w:space="0" w:color="auto"/>
            <w:left w:val="none" w:sz="0" w:space="0" w:color="auto"/>
            <w:bottom w:val="none" w:sz="0" w:space="0" w:color="auto"/>
            <w:right w:val="none" w:sz="0" w:space="0" w:color="auto"/>
          </w:divBdr>
        </w:div>
        <w:div w:id="2140344058">
          <w:marLeft w:val="0"/>
          <w:marRight w:val="0"/>
          <w:marTop w:val="0"/>
          <w:marBottom w:val="0"/>
          <w:divBdr>
            <w:top w:val="none" w:sz="0" w:space="0" w:color="auto"/>
            <w:left w:val="none" w:sz="0" w:space="0" w:color="auto"/>
            <w:bottom w:val="none" w:sz="0" w:space="0" w:color="auto"/>
            <w:right w:val="none" w:sz="0" w:space="0" w:color="auto"/>
          </w:divBdr>
        </w:div>
        <w:div w:id="729570851">
          <w:marLeft w:val="0"/>
          <w:marRight w:val="0"/>
          <w:marTop w:val="0"/>
          <w:marBottom w:val="0"/>
          <w:divBdr>
            <w:top w:val="none" w:sz="0" w:space="0" w:color="auto"/>
            <w:left w:val="none" w:sz="0" w:space="0" w:color="auto"/>
            <w:bottom w:val="none" w:sz="0" w:space="0" w:color="auto"/>
            <w:right w:val="none" w:sz="0" w:space="0" w:color="auto"/>
          </w:divBdr>
        </w:div>
        <w:div w:id="2073044258">
          <w:marLeft w:val="0"/>
          <w:marRight w:val="0"/>
          <w:marTop w:val="0"/>
          <w:marBottom w:val="0"/>
          <w:divBdr>
            <w:top w:val="none" w:sz="0" w:space="0" w:color="auto"/>
            <w:left w:val="none" w:sz="0" w:space="0" w:color="auto"/>
            <w:bottom w:val="none" w:sz="0" w:space="0" w:color="auto"/>
            <w:right w:val="none" w:sz="0" w:space="0" w:color="auto"/>
          </w:divBdr>
        </w:div>
        <w:div w:id="514078404">
          <w:marLeft w:val="0"/>
          <w:marRight w:val="0"/>
          <w:marTop w:val="0"/>
          <w:marBottom w:val="0"/>
          <w:divBdr>
            <w:top w:val="none" w:sz="0" w:space="0" w:color="auto"/>
            <w:left w:val="none" w:sz="0" w:space="0" w:color="auto"/>
            <w:bottom w:val="none" w:sz="0" w:space="0" w:color="auto"/>
            <w:right w:val="none" w:sz="0" w:space="0" w:color="auto"/>
          </w:divBdr>
        </w:div>
        <w:div w:id="355471390">
          <w:marLeft w:val="0"/>
          <w:marRight w:val="0"/>
          <w:marTop w:val="0"/>
          <w:marBottom w:val="0"/>
          <w:divBdr>
            <w:top w:val="none" w:sz="0" w:space="0" w:color="auto"/>
            <w:left w:val="none" w:sz="0" w:space="0" w:color="auto"/>
            <w:bottom w:val="none" w:sz="0" w:space="0" w:color="auto"/>
            <w:right w:val="none" w:sz="0" w:space="0" w:color="auto"/>
          </w:divBdr>
        </w:div>
        <w:div w:id="1591623857">
          <w:marLeft w:val="0"/>
          <w:marRight w:val="0"/>
          <w:marTop w:val="0"/>
          <w:marBottom w:val="0"/>
          <w:divBdr>
            <w:top w:val="none" w:sz="0" w:space="0" w:color="auto"/>
            <w:left w:val="none" w:sz="0" w:space="0" w:color="auto"/>
            <w:bottom w:val="none" w:sz="0" w:space="0" w:color="auto"/>
            <w:right w:val="none" w:sz="0" w:space="0" w:color="auto"/>
          </w:divBdr>
        </w:div>
        <w:div w:id="1743869121">
          <w:marLeft w:val="0"/>
          <w:marRight w:val="0"/>
          <w:marTop w:val="0"/>
          <w:marBottom w:val="0"/>
          <w:divBdr>
            <w:top w:val="none" w:sz="0" w:space="0" w:color="auto"/>
            <w:left w:val="none" w:sz="0" w:space="0" w:color="auto"/>
            <w:bottom w:val="none" w:sz="0" w:space="0" w:color="auto"/>
            <w:right w:val="none" w:sz="0" w:space="0" w:color="auto"/>
          </w:divBdr>
        </w:div>
        <w:div w:id="200557259">
          <w:marLeft w:val="0"/>
          <w:marRight w:val="0"/>
          <w:marTop w:val="0"/>
          <w:marBottom w:val="0"/>
          <w:divBdr>
            <w:top w:val="none" w:sz="0" w:space="0" w:color="auto"/>
            <w:left w:val="none" w:sz="0" w:space="0" w:color="auto"/>
            <w:bottom w:val="none" w:sz="0" w:space="0" w:color="auto"/>
            <w:right w:val="none" w:sz="0" w:space="0" w:color="auto"/>
          </w:divBdr>
        </w:div>
        <w:div w:id="2001500395">
          <w:marLeft w:val="0"/>
          <w:marRight w:val="0"/>
          <w:marTop w:val="0"/>
          <w:marBottom w:val="0"/>
          <w:divBdr>
            <w:top w:val="none" w:sz="0" w:space="0" w:color="auto"/>
            <w:left w:val="none" w:sz="0" w:space="0" w:color="auto"/>
            <w:bottom w:val="none" w:sz="0" w:space="0" w:color="auto"/>
            <w:right w:val="none" w:sz="0" w:space="0" w:color="auto"/>
          </w:divBdr>
        </w:div>
        <w:div w:id="1793403547">
          <w:marLeft w:val="0"/>
          <w:marRight w:val="0"/>
          <w:marTop w:val="0"/>
          <w:marBottom w:val="0"/>
          <w:divBdr>
            <w:top w:val="none" w:sz="0" w:space="0" w:color="auto"/>
            <w:left w:val="none" w:sz="0" w:space="0" w:color="auto"/>
            <w:bottom w:val="none" w:sz="0" w:space="0" w:color="auto"/>
            <w:right w:val="none" w:sz="0" w:space="0" w:color="auto"/>
          </w:divBdr>
        </w:div>
        <w:div w:id="586159105">
          <w:marLeft w:val="0"/>
          <w:marRight w:val="0"/>
          <w:marTop w:val="0"/>
          <w:marBottom w:val="0"/>
          <w:divBdr>
            <w:top w:val="none" w:sz="0" w:space="0" w:color="auto"/>
            <w:left w:val="none" w:sz="0" w:space="0" w:color="auto"/>
            <w:bottom w:val="none" w:sz="0" w:space="0" w:color="auto"/>
            <w:right w:val="none" w:sz="0" w:space="0" w:color="auto"/>
          </w:divBdr>
        </w:div>
        <w:div w:id="1738701505">
          <w:marLeft w:val="0"/>
          <w:marRight w:val="0"/>
          <w:marTop w:val="0"/>
          <w:marBottom w:val="0"/>
          <w:divBdr>
            <w:top w:val="none" w:sz="0" w:space="0" w:color="auto"/>
            <w:left w:val="none" w:sz="0" w:space="0" w:color="auto"/>
            <w:bottom w:val="none" w:sz="0" w:space="0" w:color="auto"/>
            <w:right w:val="none" w:sz="0" w:space="0" w:color="auto"/>
          </w:divBdr>
        </w:div>
        <w:div w:id="1842237272">
          <w:marLeft w:val="0"/>
          <w:marRight w:val="0"/>
          <w:marTop w:val="0"/>
          <w:marBottom w:val="0"/>
          <w:divBdr>
            <w:top w:val="none" w:sz="0" w:space="0" w:color="auto"/>
            <w:left w:val="none" w:sz="0" w:space="0" w:color="auto"/>
            <w:bottom w:val="none" w:sz="0" w:space="0" w:color="auto"/>
            <w:right w:val="none" w:sz="0" w:space="0" w:color="auto"/>
          </w:divBdr>
        </w:div>
        <w:div w:id="278148980">
          <w:marLeft w:val="0"/>
          <w:marRight w:val="0"/>
          <w:marTop w:val="0"/>
          <w:marBottom w:val="0"/>
          <w:divBdr>
            <w:top w:val="none" w:sz="0" w:space="0" w:color="auto"/>
            <w:left w:val="none" w:sz="0" w:space="0" w:color="auto"/>
            <w:bottom w:val="none" w:sz="0" w:space="0" w:color="auto"/>
            <w:right w:val="none" w:sz="0" w:space="0" w:color="auto"/>
          </w:divBdr>
        </w:div>
      </w:divsChild>
    </w:div>
    <w:div w:id="1530340415">
      <w:bodyDiv w:val="1"/>
      <w:marLeft w:val="0"/>
      <w:marRight w:val="0"/>
      <w:marTop w:val="0"/>
      <w:marBottom w:val="0"/>
      <w:divBdr>
        <w:top w:val="none" w:sz="0" w:space="0" w:color="auto"/>
        <w:left w:val="none" w:sz="0" w:space="0" w:color="auto"/>
        <w:bottom w:val="none" w:sz="0" w:space="0" w:color="auto"/>
        <w:right w:val="none" w:sz="0" w:space="0" w:color="auto"/>
      </w:divBdr>
      <w:divsChild>
        <w:div w:id="1553077073">
          <w:marLeft w:val="360"/>
          <w:marRight w:val="0"/>
          <w:marTop w:val="0"/>
          <w:marBottom w:val="0"/>
          <w:divBdr>
            <w:top w:val="none" w:sz="0" w:space="0" w:color="auto"/>
            <w:left w:val="none" w:sz="0" w:space="0" w:color="auto"/>
            <w:bottom w:val="none" w:sz="0" w:space="0" w:color="auto"/>
            <w:right w:val="none" w:sz="0" w:space="0" w:color="auto"/>
          </w:divBdr>
        </w:div>
        <w:div w:id="928586659">
          <w:marLeft w:val="360"/>
          <w:marRight w:val="0"/>
          <w:marTop w:val="0"/>
          <w:marBottom w:val="0"/>
          <w:divBdr>
            <w:top w:val="none" w:sz="0" w:space="0" w:color="auto"/>
            <w:left w:val="none" w:sz="0" w:space="0" w:color="auto"/>
            <w:bottom w:val="none" w:sz="0" w:space="0" w:color="auto"/>
            <w:right w:val="none" w:sz="0" w:space="0" w:color="auto"/>
          </w:divBdr>
        </w:div>
      </w:divsChild>
    </w:div>
    <w:div w:id="1901817915">
      <w:bodyDiv w:val="1"/>
      <w:marLeft w:val="0"/>
      <w:marRight w:val="0"/>
      <w:marTop w:val="0"/>
      <w:marBottom w:val="0"/>
      <w:divBdr>
        <w:top w:val="none" w:sz="0" w:space="0" w:color="auto"/>
        <w:left w:val="none" w:sz="0" w:space="0" w:color="auto"/>
        <w:bottom w:val="none" w:sz="0" w:space="0" w:color="auto"/>
        <w:right w:val="none" w:sz="0" w:space="0" w:color="auto"/>
      </w:divBdr>
    </w:div>
    <w:div w:id="2120948491">
      <w:bodyDiv w:val="1"/>
      <w:marLeft w:val="0"/>
      <w:marRight w:val="0"/>
      <w:marTop w:val="0"/>
      <w:marBottom w:val="0"/>
      <w:divBdr>
        <w:top w:val="none" w:sz="0" w:space="0" w:color="auto"/>
        <w:left w:val="none" w:sz="0" w:space="0" w:color="auto"/>
        <w:bottom w:val="none" w:sz="0" w:space="0" w:color="auto"/>
        <w:right w:val="none" w:sz="0" w:space="0" w:color="auto"/>
      </w:divBdr>
      <w:divsChild>
        <w:div w:id="1276713466">
          <w:blockQuote w:val="1"/>
          <w:marLeft w:val="0"/>
          <w:marRight w:val="0"/>
          <w:marTop w:val="75"/>
          <w:marBottom w:val="75"/>
          <w:divBdr>
            <w:top w:val="none" w:sz="0" w:space="0" w:color="auto"/>
            <w:left w:val="none" w:sz="0" w:space="0" w:color="auto"/>
            <w:bottom w:val="none" w:sz="0" w:space="0" w:color="auto"/>
            <w:right w:val="none" w:sz="0" w:space="0" w:color="auto"/>
          </w:divBdr>
        </w:div>
        <w:div w:id="271743911">
          <w:marLeft w:val="0"/>
          <w:marRight w:val="0"/>
          <w:marTop w:val="0"/>
          <w:marBottom w:val="0"/>
          <w:divBdr>
            <w:top w:val="none" w:sz="0" w:space="0" w:color="auto"/>
            <w:left w:val="none" w:sz="0" w:space="0" w:color="auto"/>
            <w:bottom w:val="none" w:sz="0" w:space="0" w:color="auto"/>
            <w:right w:val="none" w:sz="0" w:space="0" w:color="auto"/>
          </w:divBdr>
        </w:div>
        <w:div w:id="415831420">
          <w:blockQuote w:val="1"/>
          <w:marLeft w:val="0"/>
          <w:marRight w:val="0"/>
          <w:marTop w:val="75"/>
          <w:marBottom w:val="75"/>
          <w:divBdr>
            <w:top w:val="none" w:sz="0" w:space="0" w:color="auto"/>
            <w:left w:val="none" w:sz="0" w:space="0" w:color="auto"/>
            <w:bottom w:val="none" w:sz="0" w:space="0" w:color="auto"/>
            <w:right w:val="none" w:sz="0" w:space="0" w:color="auto"/>
          </w:divBdr>
        </w:div>
        <w:div w:id="1092436924">
          <w:blockQuote w:val="1"/>
          <w:marLeft w:val="0"/>
          <w:marRight w:val="0"/>
          <w:marTop w:val="75"/>
          <w:marBottom w:val="75"/>
          <w:divBdr>
            <w:top w:val="none" w:sz="0" w:space="0" w:color="auto"/>
            <w:left w:val="none" w:sz="0" w:space="0" w:color="auto"/>
            <w:bottom w:val="none" w:sz="0" w:space="0" w:color="auto"/>
            <w:right w:val="none" w:sz="0" w:space="0" w:color="auto"/>
          </w:divBdr>
        </w:div>
        <w:div w:id="1907180669">
          <w:marLeft w:val="0"/>
          <w:marRight w:val="0"/>
          <w:marTop w:val="0"/>
          <w:marBottom w:val="0"/>
          <w:divBdr>
            <w:top w:val="none" w:sz="0" w:space="0" w:color="auto"/>
            <w:left w:val="none" w:sz="0" w:space="0" w:color="auto"/>
            <w:bottom w:val="none" w:sz="0" w:space="0" w:color="auto"/>
            <w:right w:val="none" w:sz="0" w:space="0" w:color="auto"/>
          </w:divBdr>
        </w:div>
        <w:div w:id="76018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E961-3762-41CB-BC30-141FDC3C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1168</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Guzman Lopez</dc:creator>
  <cp:keywords/>
  <dc:description/>
  <cp:lastModifiedBy>Eugenia Guzman Lopez</cp:lastModifiedBy>
  <cp:revision>9</cp:revision>
  <cp:lastPrinted>2020-05-13T08:32:00Z</cp:lastPrinted>
  <dcterms:created xsi:type="dcterms:W3CDTF">2020-09-30T14:06:00Z</dcterms:created>
  <dcterms:modified xsi:type="dcterms:W3CDTF">2020-09-30T17:33:00Z</dcterms:modified>
</cp:coreProperties>
</file>