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A6" w:rsidRDefault="00FF0AA6" w:rsidP="00F10A90">
      <w:pPr>
        <w:jc w:val="center"/>
        <w:rPr>
          <w:b/>
          <w:kern w:val="32"/>
          <w:sz w:val="24"/>
          <w:szCs w:val="24"/>
          <w:lang w:val="en-US"/>
        </w:rPr>
      </w:pPr>
      <w:r w:rsidRPr="00F10A90">
        <w:rPr>
          <w:b/>
          <w:kern w:val="32"/>
          <w:sz w:val="24"/>
          <w:szCs w:val="24"/>
          <w:lang w:val="en-US"/>
        </w:rPr>
        <w:t xml:space="preserve">JORNADAS DE PREVENCIÓN DE RIESGOS LABORALES EN </w:t>
      </w:r>
      <w:smartTag w:uri="urn:schemas-microsoft-com:office:smarttags" w:element="PersonName">
        <w:smartTagPr>
          <w:attr w:name="ProductID" w:val="LA GESTIÓN Y TRATAMIENTO"/>
        </w:smartTagPr>
        <w:r>
          <w:rPr>
            <w:b/>
            <w:kern w:val="32"/>
            <w:sz w:val="24"/>
            <w:szCs w:val="24"/>
            <w:lang w:val="en-US"/>
          </w:rPr>
          <w:t>LA</w:t>
        </w:r>
        <w:r w:rsidRPr="00F10A90">
          <w:rPr>
            <w:b/>
            <w:kern w:val="32"/>
            <w:sz w:val="24"/>
            <w:szCs w:val="24"/>
            <w:lang w:val="en-US"/>
          </w:rPr>
          <w:t xml:space="preserve"> GESTIÓN </w:t>
        </w:r>
        <w:r>
          <w:rPr>
            <w:b/>
            <w:kern w:val="32"/>
            <w:sz w:val="24"/>
            <w:szCs w:val="24"/>
            <w:lang w:val="en-US"/>
          </w:rPr>
          <w:t>Y</w:t>
        </w:r>
        <w:r w:rsidRPr="00F10A90">
          <w:rPr>
            <w:b/>
            <w:kern w:val="32"/>
            <w:sz w:val="24"/>
            <w:szCs w:val="24"/>
            <w:lang w:val="en-US"/>
          </w:rPr>
          <w:t xml:space="preserve"> TRATAMIENTO</w:t>
        </w:r>
      </w:smartTag>
      <w:r w:rsidRPr="00F10A90">
        <w:rPr>
          <w:b/>
          <w:kern w:val="32"/>
          <w:sz w:val="24"/>
          <w:szCs w:val="24"/>
          <w:lang w:val="en-US"/>
        </w:rPr>
        <w:t xml:space="preserve"> DE RESIDUOS</w:t>
      </w:r>
    </w:p>
    <w:p w:rsidR="00FF0AA6" w:rsidRPr="00E84ECD" w:rsidRDefault="00FF0AA6" w:rsidP="00F10A90">
      <w:pPr>
        <w:jc w:val="center"/>
        <w:rPr>
          <w:b/>
          <w:kern w:val="32"/>
          <w:sz w:val="24"/>
          <w:szCs w:val="24"/>
        </w:rPr>
      </w:pPr>
    </w:p>
    <w:p w:rsidR="00FF0AA6" w:rsidRPr="00E84ECD" w:rsidRDefault="00FF0AA6" w:rsidP="00F10A90">
      <w:pPr>
        <w:rPr>
          <w:rFonts w:ascii="Tahoma" w:hAnsi="Tahoma" w:cs="Tahoma"/>
          <w:b/>
          <w:bCs/>
          <w:kern w:val="32"/>
          <w:sz w:val="20"/>
          <w:szCs w:val="20"/>
        </w:rPr>
      </w:pPr>
      <w:r w:rsidRPr="00E84ECD">
        <w:rPr>
          <w:rFonts w:ascii="Tahoma" w:hAnsi="Tahoma" w:cs="Tahoma"/>
          <w:b/>
          <w:bCs/>
          <w:kern w:val="32"/>
          <w:sz w:val="20"/>
          <w:szCs w:val="20"/>
        </w:rPr>
        <w:t>Fecha: 29  de Octubre de 2015</w:t>
      </w:r>
    </w:p>
    <w:p w:rsidR="00FF0AA6" w:rsidRPr="00E84ECD" w:rsidRDefault="00FF0AA6" w:rsidP="00F10A90">
      <w:pPr>
        <w:rPr>
          <w:rFonts w:ascii="Tahoma" w:hAnsi="Tahoma" w:cs="Tahoma"/>
          <w:b/>
          <w:bCs/>
          <w:kern w:val="32"/>
          <w:sz w:val="20"/>
          <w:szCs w:val="20"/>
        </w:rPr>
      </w:pPr>
      <w:r w:rsidRPr="00E84ECD">
        <w:rPr>
          <w:rFonts w:ascii="Tahoma" w:hAnsi="Tahoma" w:cs="Tahoma"/>
          <w:b/>
          <w:bCs/>
          <w:kern w:val="32"/>
          <w:sz w:val="20"/>
          <w:szCs w:val="20"/>
        </w:rPr>
        <w:t>Lugar:Aula de Formación ATRA, Calle Príncipe 22, 6º - VIGO</w:t>
      </w:r>
    </w:p>
    <w:p w:rsidR="00FF0AA6" w:rsidRPr="00E84ECD" w:rsidRDefault="00FF0AA6" w:rsidP="00F10A90">
      <w:pPr>
        <w:rPr>
          <w:rFonts w:ascii="Tahoma" w:hAnsi="Tahoma" w:cs="Tahoma"/>
          <w:bCs/>
          <w:kern w:val="32"/>
          <w:sz w:val="20"/>
          <w:szCs w:val="20"/>
        </w:rPr>
      </w:pP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Objetivo.</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 xml:space="preserve">El principal objetivo es describir los procesos que conforman la actividad de gestión y tratamiento de residuos, así como un procedimiento para identificar los principales riesgos asociados a la cada actividad, con el fin de establecer una relación entre actividades, tareas y riesgos. </w:t>
      </w:r>
    </w:p>
    <w:p w:rsidR="00FF0AA6" w:rsidRPr="00E84ECD" w:rsidRDefault="00FF0AA6" w:rsidP="00F10A90">
      <w:pPr>
        <w:jc w:val="both"/>
        <w:rPr>
          <w:rFonts w:ascii="Tahoma" w:hAnsi="Tahoma" w:cs="Tahoma"/>
          <w:bCs/>
          <w:kern w:val="32"/>
          <w:sz w:val="20"/>
          <w:szCs w:val="20"/>
        </w:rPr>
      </w:pP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Introducción</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 xml:space="preserve">El sector de la gestión y tratamiento de residuos presenta actualmente una gran importancia debido, fundamentalmente, al establecimiento de disposiciones legislativas, tanto nacionales cómo autonómicas, derivadas de la aplicación de la política de desarrollo sostenible establecida por </w:t>
      </w:r>
      <w:smartTag w:uri="urn:schemas-microsoft-com:office:smarttags" w:element="PersonName">
        <w:smartTagPr>
          <w:attr w:name="ProductID" w:val="la Conferencia Internacional"/>
        </w:smartTagPr>
        <w:r w:rsidRPr="00E84ECD">
          <w:rPr>
            <w:rFonts w:ascii="Tahoma" w:hAnsi="Tahoma" w:cs="Tahoma"/>
            <w:bCs/>
            <w:kern w:val="32"/>
            <w:sz w:val="20"/>
            <w:szCs w:val="20"/>
          </w:rPr>
          <w:t>la Unión Europea</w:t>
        </w:r>
      </w:smartTag>
      <w:r w:rsidRPr="00E84ECD">
        <w:rPr>
          <w:rFonts w:ascii="Tahoma" w:hAnsi="Tahoma" w:cs="Tahoma"/>
          <w:bCs/>
          <w:kern w:val="32"/>
          <w:sz w:val="20"/>
          <w:szCs w:val="20"/>
        </w:rPr>
        <w:t xml:space="preserve"> para una adecuada protección de la salud y de en medio ambiente. Todo eso sin olvidar la sensibilización social existente sobre todos los aspectos relacionados con la protección de en medio ambiente.</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 xml:space="preserve">Los principios de la política comunitaria en materia de medio ambiente están recogidos en el artículo 130.R del Tratado Constitutivo de </w:t>
      </w:r>
      <w:smartTag w:uri="urn:schemas-microsoft-com:office:smarttags" w:element="PersonName">
        <w:smartTagPr>
          <w:attr w:name="ProductID" w:val="la Conferencia Internacional"/>
        </w:smartTagPr>
        <w:r w:rsidRPr="00E84ECD">
          <w:rPr>
            <w:rFonts w:ascii="Tahoma" w:hAnsi="Tahoma" w:cs="Tahoma"/>
            <w:bCs/>
            <w:kern w:val="32"/>
            <w:sz w:val="20"/>
            <w:szCs w:val="20"/>
          </w:rPr>
          <w:t>la Comunidad Europea</w:t>
        </w:r>
      </w:smartTag>
      <w:r w:rsidRPr="00E84ECD">
        <w:rPr>
          <w:rFonts w:ascii="Tahoma" w:hAnsi="Tahoma" w:cs="Tahoma"/>
          <w:bCs/>
          <w:kern w:val="32"/>
          <w:sz w:val="20"/>
          <w:szCs w:val="20"/>
        </w:rPr>
        <w:t xml:space="preserve">, tras las modificaciones introducidas por el Tratado de </w:t>
      </w:r>
      <w:smartTag w:uri="urn:schemas-microsoft-com:office:smarttags" w:element="PersonName">
        <w:smartTagPr>
          <w:attr w:name="ProductID" w:val="la Conferencia Internacional"/>
        </w:smartTagPr>
        <w:r w:rsidRPr="00E84ECD">
          <w:rPr>
            <w:rFonts w:ascii="Tahoma" w:hAnsi="Tahoma" w:cs="Tahoma"/>
            <w:bCs/>
            <w:kern w:val="32"/>
            <w:sz w:val="20"/>
            <w:szCs w:val="20"/>
          </w:rPr>
          <w:t>la Unión Europea. En</w:t>
        </w:r>
      </w:smartTag>
      <w:r w:rsidRPr="00E84ECD">
        <w:rPr>
          <w:rFonts w:ascii="Tahoma" w:hAnsi="Tahoma" w:cs="Tahoma"/>
          <w:bCs/>
          <w:kern w:val="32"/>
          <w:sz w:val="20"/>
          <w:szCs w:val="20"/>
        </w:rPr>
        <w:t xml:space="preserve"> España mediante la Ley 10/1998, de 21 de abril, de Residuos, se asume la moderna concepción de política de residuos en </w:t>
      </w:r>
      <w:smartTag w:uri="urn:schemas-microsoft-com:office:smarttags" w:element="PersonName">
        <w:smartTagPr>
          <w:attr w:name="ProductID" w:val="la Conferencia Internacional"/>
        </w:smartTagPr>
        <w:r w:rsidRPr="00E84ECD">
          <w:rPr>
            <w:rFonts w:ascii="Tahoma" w:hAnsi="Tahoma" w:cs="Tahoma"/>
            <w:bCs/>
            <w:kern w:val="32"/>
            <w:sz w:val="20"/>
            <w:szCs w:val="20"/>
          </w:rPr>
          <w:t>la Unión Europea. Con</w:t>
        </w:r>
      </w:smartTag>
      <w:r w:rsidRPr="00E84ECD">
        <w:rPr>
          <w:rFonts w:ascii="Tahoma" w:hAnsi="Tahoma" w:cs="Tahoma"/>
          <w:bCs/>
          <w:kern w:val="32"/>
          <w:sz w:val="20"/>
          <w:szCs w:val="20"/>
        </w:rPr>
        <w:t xml:space="preserve"> eso, además de lograr una estricta aplicación del principio de "quien contamina paga", se acomoda el desarrollo económico de nuestro país a los principios proclamados en la Declaración de Río de Janeiro sobre Medio Ambiente y el Desarrollo y a la Agenda 21, firmados por España en </w:t>
      </w:r>
      <w:smartTag w:uri="urn:schemas-microsoft-com:office:smarttags" w:element="PersonName">
        <w:smartTagPr>
          <w:attr w:name="ProductID" w:val="la Conferencia Internacional"/>
        </w:smartTagPr>
        <w:r w:rsidRPr="00E84ECD">
          <w:rPr>
            <w:rFonts w:ascii="Tahoma" w:hAnsi="Tahoma" w:cs="Tahoma"/>
            <w:bCs/>
            <w:kern w:val="32"/>
            <w:sz w:val="20"/>
            <w:szCs w:val="20"/>
          </w:rPr>
          <w:t>la Conferencia Internacional</w:t>
        </w:r>
      </w:smartTag>
      <w:r w:rsidRPr="00E84ECD">
        <w:rPr>
          <w:rFonts w:ascii="Tahoma" w:hAnsi="Tahoma" w:cs="Tahoma"/>
          <w:bCs/>
          <w:kern w:val="32"/>
          <w:sz w:val="20"/>
          <w:szCs w:val="20"/>
        </w:rPr>
        <w:t xml:space="preserve"> de Río de Janeiro de 1992 y a los principios de la política comunitaria de medio ambiente.</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Esta legislación tiene por objetivo a minimización, fomentando, por esta orden, la reducción en origen, la reutilización, el reciclaje y otras formas de valorización, así como la promoción de tecnologías menos contaminantes para la eliminación de residuos. En consecuencia, debieron implantarse procedimientos de gestión y tratamiento, basados en programas de recogida selectiva, que tengan por objetivo a minimización, favoreciendo el aprovechamiento del residuo y reduciendo al mínimo la fracción de rechazo, dando lugar a un gran número de actividades distintas en el campo de los residuos. Todo eso motivó un notable incremento de empresas e instalaciones, tanto personales cómo públicas, relacionadas con la gestión y el tratamiento de residuos.</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A su vez, los residuos suelen ser productos, materiales u objetos, en los que frecuentemente se desconoce su composición y peligro, lo que unido a la especial sensibilidad que la sociedad tiene sobre ellos, hace que el sector presente una problemática muy concreta en materia de prevención de riesgos laborales, haciéndose necesario un mayor conocimiento de los riesgos que se presentan en las diferentes actividades.</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 xml:space="preserve">Con todo, antes de identificar los riesgos asociados a las instalaciones para la gestión y tratamiento de residuos, es importante conocer las distintas actividades que implican y sus características. Por eso se presentan las distintas actividades que se pueden hallar en el sector de tratamiento y gestión de residuos y un resumen del proceso que se realiza en cada actividad. </w:t>
      </w:r>
    </w:p>
    <w:p w:rsidR="00FF0AA6" w:rsidRPr="00E84ECD" w:rsidRDefault="00FF0AA6" w:rsidP="00F10A90">
      <w:pPr>
        <w:jc w:val="both"/>
        <w:rPr>
          <w:rFonts w:ascii="Tahoma" w:hAnsi="Tahoma" w:cs="Tahoma"/>
          <w:bCs/>
          <w:kern w:val="32"/>
          <w:sz w:val="20"/>
          <w:szCs w:val="20"/>
        </w:rPr>
      </w:pP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DESTINATARIOS</w:t>
      </w:r>
    </w:p>
    <w:p w:rsidR="00FF0AA6" w:rsidRPr="00E84ECD" w:rsidRDefault="00FF0AA6" w:rsidP="00F10A90">
      <w:pPr>
        <w:jc w:val="both"/>
        <w:rPr>
          <w:rFonts w:ascii="Tahoma" w:hAnsi="Tahoma" w:cs="Tahoma"/>
          <w:bCs/>
          <w:kern w:val="32"/>
          <w:sz w:val="20"/>
          <w:szCs w:val="20"/>
        </w:rPr>
      </w:pPr>
      <w:r w:rsidRPr="00E84ECD">
        <w:rPr>
          <w:rFonts w:ascii="Tahoma" w:hAnsi="Tahoma" w:cs="Tahoma"/>
          <w:bCs/>
          <w:kern w:val="32"/>
          <w:sz w:val="20"/>
          <w:szCs w:val="20"/>
        </w:rPr>
        <w:t>Trabajadores autónomos de empresas generadoras de residuos, empleados de estas empresas o c</w:t>
      </w:r>
      <w:r>
        <w:rPr>
          <w:rFonts w:ascii="Tahoma" w:hAnsi="Tahoma" w:cs="Tahoma"/>
          <w:bCs/>
          <w:kern w:val="32"/>
          <w:sz w:val="20"/>
          <w:szCs w:val="20"/>
        </w:rPr>
        <w:t>u</w:t>
      </w:r>
      <w:r w:rsidRPr="00E84ECD">
        <w:rPr>
          <w:rFonts w:ascii="Tahoma" w:hAnsi="Tahoma" w:cs="Tahoma"/>
          <w:bCs/>
          <w:kern w:val="32"/>
          <w:sz w:val="20"/>
          <w:szCs w:val="20"/>
        </w:rPr>
        <w:t>alqu</w:t>
      </w:r>
      <w:r>
        <w:rPr>
          <w:rFonts w:ascii="Tahoma" w:hAnsi="Tahoma" w:cs="Tahoma"/>
          <w:bCs/>
          <w:kern w:val="32"/>
          <w:sz w:val="20"/>
          <w:szCs w:val="20"/>
        </w:rPr>
        <w:t>i</w:t>
      </w:r>
      <w:r w:rsidRPr="00E84ECD">
        <w:rPr>
          <w:rFonts w:ascii="Tahoma" w:hAnsi="Tahoma" w:cs="Tahoma"/>
          <w:bCs/>
          <w:kern w:val="32"/>
          <w:sz w:val="20"/>
          <w:szCs w:val="20"/>
        </w:rPr>
        <w:t>er interesado en la materia</w:t>
      </w:r>
      <w:r>
        <w:rPr>
          <w:rFonts w:ascii="Tahoma" w:hAnsi="Tahoma" w:cs="Tahoma"/>
          <w:bCs/>
          <w:kern w:val="32"/>
          <w:sz w:val="20"/>
          <w:szCs w:val="20"/>
        </w:rPr>
        <w:t>.</w:t>
      </w:r>
    </w:p>
    <w:p w:rsidR="00FF0AA6" w:rsidRPr="00E84ECD" w:rsidRDefault="00FF0AA6" w:rsidP="00F10A90">
      <w:pPr>
        <w:jc w:val="both"/>
        <w:rPr>
          <w:rFonts w:ascii="Tahoma" w:hAnsi="Tahoma" w:cs="Tahoma"/>
          <w:bCs/>
          <w:kern w:val="32"/>
          <w:sz w:val="20"/>
          <w:szCs w:val="20"/>
        </w:rPr>
      </w:pP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PROGRAMACIÓN</w:t>
      </w: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1. Definiciones</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Residuo</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Residuo urbano o municipal</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Residuo peligroso</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Prevención/Reducción</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Reutilización</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Reciclado</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Valorización</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Eliminación</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Recogida selectiva</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Verted</w:t>
      </w:r>
      <w:r>
        <w:rPr>
          <w:rFonts w:ascii="Tahoma" w:hAnsi="Tahoma" w:cs="Tahoma"/>
          <w:bCs/>
          <w:kern w:val="32"/>
          <w:sz w:val="20"/>
          <w:szCs w:val="20"/>
        </w:rPr>
        <w:t>ero</w:t>
      </w:r>
      <w:r w:rsidRPr="00E84ECD">
        <w:rPr>
          <w:rFonts w:ascii="Tahoma" w:hAnsi="Tahoma" w:cs="Tahoma"/>
          <w:bCs/>
          <w:kern w:val="32"/>
          <w:sz w:val="20"/>
          <w:szCs w:val="20"/>
        </w:rPr>
        <w:t>/Depósito controlado</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Estación de transferencia/Centro de transferencia (CTR)</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Gestión</w:t>
      </w:r>
    </w:p>
    <w:p w:rsidR="00FF0AA6" w:rsidRPr="00E84ECD" w:rsidRDefault="00FF0AA6" w:rsidP="00F10A90">
      <w:pPr>
        <w:pStyle w:val="ListParagraph"/>
        <w:numPr>
          <w:ilvl w:val="0"/>
          <w:numId w:val="3"/>
        </w:numPr>
        <w:jc w:val="both"/>
        <w:rPr>
          <w:rFonts w:ascii="Tahoma" w:hAnsi="Tahoma" w:cs="Tahoma"/>
          <w:bCs/>
          <w:kern w:val="32"/>
          <w:sz w:val="20"/>
          <w:szCs w:val="20"/>
        </w:rPr>
      </w:pPr>
      <w:r w:rsidRPr="00E84ECD">
        <w:rPr>
          <w:rFonts w:ascii="Tahoma" w:hAnsi="Tahoma" w:cs="Tahoma"/>
          <w:bCs/>
          <w:kern w:val="32"/>
          <w:sz w:val="20"/>
          <w:szCs w:val="20"/>
        </w:rPr>
        <w:t>Gestor</w:t>
      </w:r>
    </w:p>
    <w:p w:rsidR="00FF0AA6" w:rsidRPr="00E84ECD" w:rsidRDefault="00FF0AA6" w:rsidP="00F10A90">
      <w:pPr>
        <w:jc w:val="both"/>
        <w:rPr>
          <w:rFonts w:ascii="Tahoma" w:hAnsi="Tahoma" w:cs="Tahoma"/>
          <w:bCs/>
          <w:kern w:val="32"/>
          <w:sz w:val="20"/>
          <w:szCs w:val="20"/>
        </w:rPr>
      </w:pP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2. Clasificación de los residuos</w:t>
      </w:r>
    </w:p>
    <w:p w:rsidR="00FF0AA6" w:rsidRPr="00E84ECD" w:rsidRDefault="00FF0AA6" w:rsidP="00F10A90">
      <w:pPr>
        <w:jc w:val="both"/>
        <w:rPr>
          <w:rFonts w:ascii="Tahoma" w:hAnsi="Tahoma" w:cs="Tahoma"/>
          <w:b/>
          <w:bCs/>
          <w:kern w:val="32"/>
          <w:sz w:val="20"/>
          <w:szCs w:val="20"/>
        </w:rPr>
      </w:pPr>
      <w:r w:rsidRPr="00E84ECD">
        <w:rPr>
          <w:rFonts w:ascii="Tahoma" w:hAnsi="Tahoma" w:cs="Tahoma"/>
          <w:b/>
          <w:bCs/>
          <w:kern w:val="32"/>
          <w:sz w:val="20"/>
          <w:szCs w:val="20"/>
        </w:rPr>
        <w:t>3. Descripción de las actividades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Recogida y transferencia</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Incineración</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frigoríficos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pilas y lámparas fluorescentes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vehículos en desecho</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vidrio</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Tratamiento de residuos sanitarios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Recogida de residuos sólidos urban</w:t>
      </w:r>
      <w:r>
        <w:rPr>
          <w:rFonts w:ascii="Tahoma" w:hAnsi="Tahoma" w:cs="Tahoma"/>
          <w:bCs/>
          <w:kern w:val="32"/>
          <w:sz w:val="20"/>
          <w:szCs w:val="20"/>
        </w:rPr>
        <w:t>o</w:t>
      </w:r>
      <w:r w:rsidRPr="00E84ECD">
        <w:rPr>
          <w:rFonts w:ascii="Tahoma" w:hAnsi="Tahoma" w:cs="Tahoma"/>
          <w:bCs/>
          <w:kern w:val="32"/>
          <w:sz w:val="20"/>
          <w:szCs w:val="20"/>
        </w:rPr>
        <w:t>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Limpieza vial</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Limpieza industrial</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Escombreras (depósitos controlados)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Selección de envases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Compostaje</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Tratamiento físico-químico</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envases industriales usados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plásticos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disolventes</w:t>
      </w:r>
    </w:p>
    <w:p w:rsidR="00FF0AA6" w:rsidRPr="00E84ECD" w:rsidRDefault="00FF0AA6" w:rsidP="00F10A90">
      <w:pPr>
        <w:pStyle w:val="ListParagraph"/>
        <w:numPr>
          <w:ilvl w:val="0"/>
          <w:numId w:val="4"/>
        </w:numPr>
        <w:jc w:val="both"/>
        <w:rPr>
          <w:rFonts w:ascii="Tahoma" w:hAnsi="Tahoma" w:cs="Tahoma"/>
          <w:bCs/>
          <w:kern w:val="32"/>
          <w:sz w:val="20"/>
          <w:szCs w:val="20"/>
        </w:rPr>
      </w:pPr>
      <w:r w:rsidRPr="00E84ECD">
        <w:rPr>
          <w:rFonts w:ascii="Tahoma" w:hAnsi="Tahoma" w:cs="Tahoma"/>
          <w:bCs/>
          <w:kern w:val="32"/>
          <w:sz w:val="20"/>
          <w:szCs w:val="20"/>
        </w:rPr>
        <w:t>Valorización: aceites minerales usados</w:t>
      </w:r>
    </w:p>
    <w:p w:rsidR="00FF0AA6" w:rsidRPr="00E84ECD" w:rsidRDefault="00FF0AA6" w:rsidP="00F10A90">
      <w:pPr>
        <w:jc w:val="both"/>
        <w:rPr>
          <w:rFonts w:ascii="Tahoma" w:hAnsi="Tahoma" w:cs="Tahoma"/>
          <w:bCs/>
          <w:kern w:val="32"/>
          <w:sz w:val="20"/>
          <w:szCs w:val="20"/>
        </w:rPr>
      </w:pPr>
    </w:p>
    <w:p w:rsidR="00FF0AA6" w:rsidRPr="00E84ECD" w:rsidRDefault="00FF0AA6" w:rsidP="00F10A90">
      <w:pPr>
        <w:jc w:val="both"/>
        <w:rPr>
          <w:b/>
        </w:rPr>
      </w:pPr>
      <w:r w:rsidRPr="00E84ECD">
        <w:rPr>
          <w:rFonts w:ascii="Tahoma" w:hAnsi="Tahoma" w:cs="Tahoma"/>
          <w:b/>
          <w:bCs/>
          <w:kern w:val="32"/>
          <w:sz w:val="20"/>
          <w:szCs w:val="20"/>
        </w:rPr>
        <w:t>4. Relación de riesgos asociados a las actividades estudiadas</w:t>
      </w:r>
      <w:r>
        <w:rPr>
          <w:rFonts w:ascii="Tahoma" w:hAnsi="Tahoma" w:cs="Tahoma"/>
          <w:b/>
          <w:bCs/>
          <w:kern w:val="32"/>
          <w:sz w:val="20"/>
          <w:szCs w:val="20"/>
        </w:rPr>
        <w:t>.</w:t>
      </w:r>
    </w:p>
    <w:sectPr w:rsidR="00FF0AA6" w:rsidRPr="00E84ECD" w:rsidSect="0037738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A6" w:rsidRDefault="00FF0AA6" w:rsidP="00485548">
      <w:pPr>
        <w:spacing w:after="0" w:line="240" w:lineRule="auto"/>
      </w:pPr>
      <w:r>
        <w:separator/>
      </w:r>
    </w:p>
  </w:endnote>
  <w:endnote w:type="continuationSeparator" w:id="0">
    <w:p w:rsidR="00FF0AA6" w:rsidRDefault="00FF0AA6" w:rsidP="00485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A6" w:rsidRDefault="00FF0AA6" w:rsidP="00485548">
      <w:pPr>
        <w:spacing w:after="0" w:line="240" w:lineRule="auto"/>
      </w:pPr>
      <w:r>
        <w:separator/>
      </w:r>
    </w:p>
  </w:footnote>
  <w:footnote w:type="continuationSeparator" w:id="0">
    <w:p w:rsidR="00FF0AA6" w:rsidRDefault="00FF0AA6" w:rsidP="00485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rsidP="00485548">
    <w:pPr>
      <w:pStyle w:val="Footer"/>
      <w:jc w:val="right"/>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49" type="#_x0000_t75" style="position:absolute;left:0;text-align:left;margin-left:15pt;margin-top:-2.2pt;width:63.55pt;height:52.85pt;z-index:-251656192;visibility:visible" wrapcoords="12452 309 11435 309 3558 4937 1016 7406 762 10183 1779 10183 1779 11417 3304 15120 3812 20674 9148 21291 10673 21291 14993 21291 17280 20983 18551 19749 20075 15737 19313 7097 17534 5246 18296 3394 17534 2469 13468 309 12452 309">
          <v:imagedata r:id="rId1" o:title=""/>
          <w10:wrap type="tight"/>
        </v:shape>
      </w:pict>
    </w:r>
    <w:r>
      <w:t xml:space="preserve">APE GALICIA, Praza de España nº1, </w:t>
    </w:r>
  </w:p>
  <w:p w:rsidR="00FF0AA6" w:rsidRDefault="00FF0AA6" w:rsidP="00485548">
    <w:pPr>
      <w:pStyle w:val="Footer"/>
      <w:jc w:val="right"/>
    </w:pPr>
    <w:r>
      <w:t>1º oficina 1 36002 Pontevedra</w:t>
    </w:r>
  </w:p>
  <w:p w:rsidR="00FF0AA6" w:rsidRDefault="00FF0AA6" w:rsidP="00485548">
    <w:pPr>
      <w:pStyle w:val="Footer"/>
      <w:jc w:val="right"/>
    </w:pPr>
    <w:r>
      <w:t>Tel. 986891657</w:t>
    </w:r>
  </w:p>
  <w:p w:rsidR="00FF0AA6" w:rsidRDefault="00FF0AA6" w:rsidP="00485548">
    <w:pPr>
      <w:pStyle w:val="Footer"/>
      <w:jc w:val="right"/>
    </w:pPr>
    <w:r>
      <w:t>info@apegalicia.es</w:t>
    </w:r>
  </w:p>
  <w:p w:rsidR="00FF0AA6" w:rsidRDefault="00FF0AA6" w:rsidP="00485548">
    <w:pPr>
      <w:pStyle w:val="Footer"/>
      <w:jc w:val="center"/>
    </w:pPr>
  </w:p>
  <w:p w:rsidR="00FF0AA6" w:rsidRDefault="00FF0A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A6" w:rsidRDefault="00FF0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C16"/>
    <w:multiLevelType w:val="hybridMultilevel"/>
    <w:tmpl w:val="01765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D97DC0"/>
    <w:multiLevelType w:val="multilevel"/>
    <w:tmpl w:val="E81048F2"/>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
    <w:nsid w:val="2DB711C4"/>
    <w:multiLevelType w:val="hybridMultilevel"/>
    <w:tmpl w:val="8ED05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655987"/>
    <w:multiLevelType w:val="hybridMultilevel"/>
    <w:tmpl w:val="8DFEB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548"/>
    <w:rsid w:val="00045CFF"/>
    <w:rsid w:val="00082379"/>
    <w:rsid w:val="000F6993"/>
    <w:rsid w:val="00100155"/>
    <w:rsid w:val="001C02EE"/>
    <w:rsid w:val="002132D5"/>
    <w:rsid w:val="00283822"/>
    <w:rsid w:val="00292284"/>
    <w:rsid w:val="00295E5B"/>
    <w:rsid w:val="002A39BF"/>
    <w:rsid w:val="002C6E26"/>
    <w:rsid w:val="00331BC2"/>
    <w:rsid w:val="00354DFE"/>
    <w:rsid w:val="00375624"/>
    <w:rsid w:val="00377384"/>
    <w:rsid w:val="00386B42"/>
    <w:rsid w:val="003A0687"/>
    <w:rsid w:val="003B1891"/>
    <w:rsid w:val="003E7FFA"/>
    <w:rsid w:val="0041187B"/>
    <w:rsid w:val="00485548"/>
    <w:rsid w:val="0052508E"/>
    <w:rsid w:val="006568E9"/>
    <w:rsid w:val="0067189A"/>
    <w:rsid w:val="007427E6"/>
    <w:rsid w:val="00771FAF"/>
    <w:rsid w:val="00774A3A"/>
    <w:rsid w:val="007F4F8A"/>
    <w:rsid w:val="00894263"/>
    <w:rsid w:val="008A6A51"/>
    <w:rsid w:val="008B4507"/>
    <w:rsid w:val="008B5B6B"/>
    <w:rsid w:val="008B748F"/>
    <w:rsid w:val="008D6784"/>
    <w:rsid w:val="008F40A1"/>
    <w:rsid w:val="009069F1"/>
    <w:rsid w:val="00943F05"/>
    <w:rsid w:val="00953FBD"/>
    <w:rsid w:val="0095546C"/>
    <w:rsid w:val="009571D6"/>
    <w:rsid w:val="009F401F"/>
    <w:rsid w:val="009F4571"/>
    <w:rsid w:val="00A00E92"/>
    <w:rsid w:val="00A07455"/>
    <w:rsid w:val="00A347D7"/>
    <w:rsid w:val="00B04F67"/>
    <w:rsid w:val="00B71F5B"/>
    <w:rsid w:val="00C13464"/>
    <w:rsid w:val="00C33A8E"/>
    <w:rsid w:val="00C643E9"/>
    <w:rsid w:val="00CA65EB"/>
    <w:rsid w:val="00D0545A"/>
    <w:rsid w:val="00D27A02"/>
    <w:rsid w:val="00D72891"/>
    <w:rsid w:val="00E84ECD"/>
    <w:rsid w:val="00EB27C7"/>
    <w:rsid w:val="00F10A90"/>
    <w:rsid w:val="00F1756B"/>
    <w:rsid w:val="00F4246F"/>
    <w:rsid w:val="00F431B3"/>
    <w:rsid w:val="00F47FDA"/>
    <w:rsid w:val="00F80329"/>
    <w:rsid w:val="00F84588"/>
    <w:rsid w:val="00F84C68"/>
    <w:rsid w:val="00FB149C"/>
    <w:rsid w:val="00FF02BD"/>
    <w:rsid w:val="00FF0AA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5548"/>
    <w:pPr>
      <w:spacing w:after="200" w:line="276" w:lineRule="auto"/>
    </w:pPr>
    <w:rPr>
      <w:lang w:eastAsia="en-US"/>
    </w:rPr>
  </w:style>
  <w:style w:type="paragraph" w:styleId="Heading1">
    <w:name w:val="heading 1"/>
    <w:basedOn w:val="Normal"/>
    <w:next w:val="Normal"/>
    <w:link w:val="Heading1Char"/>
    <w:uiPriority w:val="99"/>
    <w:qFormat/>
    <w:rsid w:val="00485548"/>
    <w:pPr>
      <w:keepNext/>
      <w:numPr>
        <w:numId w:val="1"/>
      </w:numPr>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9"/>
    <w:qFormat/>
    <w:rsid w:val="00485548"/>
    <w:pPr>
      <w:keepNext/>
      <w:numPr>
        <w:ilvl w:val="1"/>
        <w:numId w:val="1"/>
      </w:numPr>
      <w:spacing w:before="240" w:after="60" w:line="240" w:lineRule="auto"/>
      <w:outlineLvl w:val="1"/>
    </w:pPr>
    <w:rPr>
      <w:rFonts w:ascii="Cambria" w:eastAsia="Times New Roman" w:hAnsi="Cambria"/>
      <w:b/>
      <w:bCs/>
      <w:i/>
      <w:iCs/>
      <w:sz w:val="28"/>
      <w:szCs w:val="28"/>
      <w:lang w:val="en-US"/>
    </w:rPr>
  </w:style>
  <w:style w:type="paragraph" w:styleId="Heading3">
    <w:name w:val="heading 3"/>
    <w:basedOn w:val="Normal"/>
    <w:next w:val="Normal"/>
    <w:link w:val="Heading3Char"/>
    <w:uiPriority w:val="99"/>
    <w:qFormat/>
    <w:rsid w:val="00485548"/>
    <w:pPr>
      <w:keepNext/>
      <w:numPr>
        <w:ilvl w:val="2"/>
        <w:numId w:val="1"/>
      </w:numPr>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uiPriority w:val="99"/>
    <w:qFormat/>
    <w:rsid w:val="00485548"/>
    <w:pPr>
      <w:keepNext/>
      <w:numPr>
        <w:ilvl w:val="3"/>
        <w:numId w:val="1"/>
      </w:numPr>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uiPriority w:val="99"/>
    <w:qFormat/>
    <w:rsid w:val="00485548"/>
    <w:pPr>
      <w:numPr>
        <w:ilvl w:val="4"/>
        <w:numId w:val="1"/>
      </w:num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link w:val="Heading6Char"/>
    <w:uiPriority w:val="99"/>
    <w:qFormat/>
    <w:rsid w:val="00485548"/>
    <w:pPr>
      <w:numPr>
        <w:ilvl w:val="5"/>
        <w:numId w:val="1"/>
      </w:numPr>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9"/>
    <w:qFormat/>
    <w:rsid w:val="00485548"/>
    <w:pPr>
      <w:numPr>
        <w:ilvl w:val="6"/>
        <w:numId w:val="1"/>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iPriority w:val="99"/>
    <w:qFormat/>
    <w:rsid w:val="00485548"/>
    <w:pPr>
      <w:numPr>
        <w:ilvl w:val="7"/>
        <w:numId w:val="1"/>
      </w:numPr>
      <w:spacing w:before="240" w:after="60" w:line="240" w:lineRule="auto"/>
      <w:outlineLvl w:val="7"/>
    </w:pPr>
    <w:rPr>
      <w:rFonts w:eastAsia="Times New Roman"/>
      <w:i/>
      <w:iCs/>
      <w:sz w:val="24"/>
      <w:szCs w:val="24"/>
      <w:lang w:val="en-US"/>
    </w:rPr>
  </w:style>
  <w:style w:type="paragraph" w:styleId="Heading9">
    <w:name w:val="heading 9"/>
    <w:basedOn w:val="Normal"/>
    <w:next w:val="Normal"/>
    <w:link w:val="Heading9Char"/>
    <w:uiPriority w:val="99"/>
    <w:qFormat/>
    <w:rsid w:val="00485548"/>
    <w:pPr>
      <w:numPr>
        <w:ilvl w:val="8"/>
        <w:numId w:val="1"/>
      </w:numPr>
      <w:spacing w:before="240" w:after="60" w:line="240" w:lineRule="auto"/>
      <w:outlineLvl w:val="8"/>
    </w:pPr>
    <w:rPr>
      <w:rFonts w:ascii="Cambria" w:eastAsia="Times New Roman" w:hAnsi="Cambria"/>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5548"/>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locked/>
    <w:rsid w:val="00485548"/>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485548"/>
    <w:rPr>
      <w:rFonts w:ascii="Cambria" w:hAnsi="Cambria" w:cs="Times New Roman"/>
      <w:b/>
      <w:bCs/>
      <w:sz w:val="26"/>
      <w:szCs w:val="26"/>
      <w:lang w:val="en-US"/>
    </w:rPr>
  </w:style>
  <w:style w:type="character" w:customStyle="1" w:styleId="Heading4Char">
    <w:name w:val="Heading 4 Char"/>
    <w:basedOn w:val="DefaultParagraphFont"/>
    <w:link w:val="Heading4"/>
    <w:uiPriority w:val="99"/>
    <w:semiHidden/>
    <w:locked/>
    <w:rsid w:val="00485548"/>
    <w:rPr>
      <w:rFonts w:ascii="Calibri" w:hAnsi="Calibri" w:cs="Times New Roman"/>
      <w:b/>
      <w:bCs/>
      <w:sz w:val="28"/>
      <w:szCs w:val="28"/>
      <w:lang w:val="en-US"/>
    </w:rPr>
  </w:style>
  <w:style w:type="character" w:customStyle="1" w:styleId="Heading5Char">
    <w:name w:val="Heading 5 Char"/>
    <w:basedOn w:val="DefaultParagraphFont"/>
    <w:link w:val="Heading5"/>
    <w:uiPriority w:val="99"/>
    <w:semiHidden/>
    <w:locked/>
    <w:rsid w:val="00485548"/>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locked/>
    <w:rsid w:val="00485548"/>
    <w:rPr>
      <w:rFonts w:ascii="Times New Roman" w:hAnsi="Times New Roman" w:cs="Times New Roman"/>
      <w:b/>
      <w:bCs/>
      <w:lang w:val="en-US"/>
    </w:rPr>
  </w:style>
  <w:style w:type="character" w:customStyle="1" w:styleId="Heading7Char">
    <w:name w:val="Heading 7 Char"/>
    <w:basedOn w:val="DefaultParagraphFont"/>
    <w:link w:val="Heading7"/>
    <w:uiPriority w:val="99"/>
    <w:semiHidden/>
    <w:locked/>
    <w:rsid w:val="00485548"/>
    <w:rPr>
      <w:rFonts w:ascii="Calibri" w:hAnsi="Calibri" w:cs="Times New Roman"/>
      <w:sz w:val="24"/>
      <w:szCs w:val="24"/>
      <w:lang w:val="en-US"/>
    </w:rPr>
  </w:style>
  <w:style w:type="character" w:customStyle="1" w:styleId="Heading8Char">
    <w:name w:val="Heading 8 Char"/>
    <w:basedOn w:val="DefaultParagraphFont"/>
    <w:link w:val="Heading8"/>
    <w:uiPriority w:val="99"/>
    <w:semiHidden/>
    <w:locked/>
    <w:rsid w:val="00485548"/>
    <w:rPr>
      <w:rFonts w:ascii="Calibri" w:hAnsi="Calibri" w:cs="Times New Roman"/>
      <w:i/>
      <w:iCs/>
      <w:sz w:val="24"/>
      <w:szCs w:val="24"/>
      <w:lang w:val="en-US"/>
    </w:rPr>
  </w:style>
  <w:style w:type="character" w:customStyle="1" w:styleId="Heading9Char">
    <w:name w:val="Heading 9 Char"/>
    <w:basedOn w:val="DefaultParagraphFont"/>
    <w:link w:val="Heading9"/>
    <w:uiPriority w:val="99"/>
    <w:semiHidden/>
    <w:locked/>
    <w:rsid w:val="00485548"/>
    <w:rPr>
      <w:rFonts w:ascii="Cambria" w:hAnsi="Cambria" w:cs="Times New Roman"/>
      <w:lang w:val="en-US"/>
    </w:rPr>
  </w:style>
  <w:style w:type="paragraph" w:styleId="NormalWeb">
    <w:name w:val="Normal (Web)"/>
    <w:basedOn w:val="Normal"/>
    <w:uiPriority w:val="99"/>
    <w:rsid w:val="00485548"/>
    <w:pPr>
      <w:spacing w:before="100" w:beforeAutospacing="1" w:after="100" w:afterAutospacing="1" w:line="240" w:lineRule="auto"/>
    </w:pPr>
    <w:rPr>
      <w:rFonts w:ascii="Times New Roman" w:eastAsia="Times New Roman" w:hAnsi="Times New Roman"/>
      <w:sz w:val="24"/>
      <w:szCs w:val="24"/>
      <w:lang w:eastAsia="es-ES"/>
    </w:rPr>
  </w:style>
  <w:style w:type="paragraph" w:styleId="Header">
    <w:name w:val="header"/>
    <w:basedOn w:val="Normal"/>
    <w:link w:val="HeaderChar"/>
    <w:uiPriority w:val="99"/>
    <w:semiHidden/>
    <w:rsid w:val="0048554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485548"/>
    <w:rPr>
      <w:rFonts w:ascii="Calibri" w:eastAsia="Times New Roman" w:hAnsi="Calibri" w:cs="Times New Roman"/>
    </w:rPr>
  </w:style>
  <w:style w:type="paragraph" w:styleId="Footer">
    <w:name w:val="footer"/>
    <w:basedOn w:val="Normal"/>
    <w:link w:val="FooterChar"/>
    <w:uiPriority w:val="99"/>
    <w:rsid w:val="0048554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485548"/>
    <w:rPr>
      <w:rFonts w:ascii="Calibri" w:eastAsia="Times New Roman" w:hAnsi="Calibri" w:cs="Times New Roman"/>
    </w:rPr>
  </w:style>
  <w:style w:type="paragraph" w:styleId="ListParagraph">
    <w:name w:val="List Paragraph"/>
    <w:basedOn w:val="Normal"/>
    <w:uiPriority w:val="99"/>
    <w:qFormat/>
    <w:rsid w:val="00F10A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3</Pages>
  <Words>670</Words>
  <Characters>3686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Asociacion</dc:creator>
  <cp:keywords/>
  <dc:description/>
  <cp:lastModifiedBy>Simon</cp:lastModifiedBy>
  <cp:revision>4</cp:revision>
  <dcterms:created xsi:type="dcterms:W3CDTF">2015-10-09T11:03:00Z</dcterms:created>
  <dcterms:modified xsi:type="dcterms:W3CDTF">2015-10-14T08:51:00Z</dcterms:modified>
</cp:coreProperties>
</file>